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lctx-20231231.htm"/>
      <w:bookmarkStart w:id="1" w:name="kslctx20231231"/>
      <w:bookmarkEnd w:id="0"/>
      <w:bookmarkEnd w:id="1"/>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FORM 10-K</w:t>
      </w:r>
    </w:p>
    <w:p>
      <w:pPr>
        <w:pStyle w:val="TextBody"/>
        <w:bidi w:val="0"/>
        <w:jc w:val="center"/>
        <w:rPr/>
      </w:pPr>
      <w:r>
        <w:rPr/>
        <w:t> </w:t>
      </w:r>
    </w:p>
    <w:tbl>
      <w:tblPr>
        <w:tblW w:w="8342" w:type="dxa"/>
        <w:jc w:val="left"/>
        <w:tblInd w:w="0" w:type="dxa"/>
        <w:tblLayout w:type="fixed"/>
        <w:tblCellMar>
          <w:top w:w="28" w:type="dxa"/>
          <w:left w:w="28" w:type="dxa"/>
          <w:bottom w:w="28" w:type="dxa"/>
          <w:right w:w="28" w:type="dxa"/>
        </w:tblCellMar>
      </w:tblPr>
      <w:tblGrid>
        <w:gridCol w:w="331"/>
        <w:gridCol w:w="8011"/>
      </w:tblGrid>
      <w:tr>
        <w:trPr/>
        <w:tc>
          <w:tcPr>
            <w:tcW w:w="331" w:type="dxa"/>
            <w:tcBorders/>
            <w:vAlign w:val="center"/>
          </w:tcPr>
          <w:p>
            <w:pPr>
              <w:pStyle w:val="TableContents"/>
              <w:bidi w:val="0"/>
              <w:spacing w:before="0" w:after="283"/>
              <w:jc w:val="left"/>
              <w:rPr>
                <w:sz w:val="4"/>
                <w:szCs w:val="4"/>
              </w:rPr>
            </w:pPr>
            <w:r>
              <w:rPr>
                <w:sz w:val="4"/>
                <w:szCs w:val="4"/>
              </w:rPr>
            </w:r>
          </w:p>
        </w:tc>
        <w:tc>
          <w:tcPr>
            <w:tcW w:w="801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801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ANNUAL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For the fiscal year ended December 31, 2023</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OR</w:t>
      </w:r>
    </w:p>
    <w:p>
      <w:pPr>
        <w:pStyle w:val="TextBody"/>
        <w:bidi w:val="0"/>
        <w:jc w:val="center"/>
        <w:rPr/>
      </w:pPr>
      <w:r>
        <w:rPr/>
        <w:t> </w:t>
      </w:r>
    </w:p>
    <w:tbl>
      <w:tblPr>
        <w:tblW w:w="8642" w:type="dxa"/>
        <w:jc w:val="left"/>
        <w:tblInd w:w="0" w:type="dxa"/>
        <w:tblLayout w:type="fixed"/>
        <w:tblCellMar>
          <w:top w:w="28" w:type="dxa"/>
          <w:left w:w="28" w:type="dxa"/>
          <w:bottom w:w="28" w:type="dxa"/>
          <w:right w:w="28" w:type="dxa"/>
        </w:tblCellMar>
      </w:tblPr>
      <w:tblGrid>
        <w:gridCol w:w="331"/>
        <w:gridCol w:w="8311"/>
      </w:tblGrid>
      <w:tr>
        <w:trPr/>
        <w:tc>
          <w:tcPr>
            <w:tcW w:w="331" w:type="dxa"/>
            <w:tcBorders/>
            <w:vAlign w:val="center"/>
          </w:tcPr>
          <w:p>
            <w:pPr>
              <w:pStyle w:val="TableContents"/>
              <w:bidi w:val="0"/>
              <w:spacing w:before="0" w:after="283"/>
              <w:jc w:val="left"/>
              <w:rPr>
                <w:sz w:val="4"/>
                <w:szCs w:val="4"/>
              </w:rPr>
            </w:pPr>
            <w:r>
              <w:rPr>
                <w:sz w:val="4"/>
                <w:szCs w:val="4"/>
              </w:rPr>
            </w:r>
          </w:p>
        </w:tc>
        <w:tc>
          <w:tcPr>
            <w:tcW w:w="831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8311" w:type="dxa"/>
            <w:tcBorders/>
            <w:vAlign w:val="center"/>
          </w:tcPr>
          <w:p>
            <w:pPr>
              <w:pStyle w:val="TableContents"/>
              <w:bidi w:val="0"/>
              <w:jc w:val="left"/>
              <w:rPr>
                <w:rFonts w:ascii="Times New Roman" w:hAnsi="Times New Roman"/>
                <w:color w:val="000000"/>
                <w:sz w:val="16"/>
              </w:rPr>
            </w:pPr>
            <w:r>
              <w:rPr>
                <w:rFonts w:ascii="Times New Roman" w:hAnsi="Times New Roman"/>
                <w:color w:val="000000"/>
                <w:sz w:val="16"/>
              </w:rPr>
              <w:t>TRANSITION REPORT PURSUANT TO SECTION 13 OR 15(d) OF THE SECURITIES EXCHANGE ACT OF 1934</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transition period from___________ to __________</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Commission file number 001-12830</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Lineage Cell Therapeutics, Inc.</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bidi w:val="0"/>
        <w:jc w:val="center"/>
        <w:rPr/>
      </w:pPr>
      <w:r>
        <w:rPr/>
        <w:t> </w:t>
      </w:r>
    </w:p>
    <w:tbl>
      <w:tblPr>
        <w:tblW w:w="3823" w:type="dxa"/>
        <w:jc w:val="left"/>
        <w:tblInd w:w="0" w:type="dxa"/>
        <w:tblLayout w:type="fixed"/>
        <w:tblCellMar>
          <w:top w:w="28" w:type="dxa"/>
          <w:left w:w="28" w:type="dxa"/>
          <w:bottom w:w="28" w:type="dxa"/>
          <w:right w:w="28" w:type="dxa"/>
        </w:tblCellMar>
      </w:tblPr>
      <w:tblGrid>
        <w:gridCol w:w="2236"/>
        <w:gridCol w:w="146"/>
        <w:gridCol w:w="144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California</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94-3127919</w:t>
            </w:r>
          </w:p>
        </w:tc>
      </w:tr>
      <w:tr>
        <w:trPr/>
        <w:tc>
          <w:tcPr>
            <w:tcW w:w="2236" w:type="dxa"/>
            <w:tcBorders/>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 jurisdiction of</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 or organization)</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Identification No.)</w:t>
            </w:r>
          </w:p>
        </w:tc>
      </w:tr>
    </w:tbl>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2173 Salk Avenue, Suite 200</w:t>
      </w:r>
    </w:p>
    <w:p>
      <w:pPr>
        <w:pStyle w:val="TextBody"/>
        <w:bidi w:val="0"/>
        <w:jc w:val="center"/>
        <w:rPr>
          <w:rFonts w:ascii="Times New Roman" w:hAnsi="Times New Roman"/>
          <w:sz w:val="20"/>
        </w:rPr>
      </w:pPr>
      <w:r>
        <w:rPr>
          <w:rFonts w:ascii="Times New Roman" w:hAnsi="Times New Roman"/>
          <w:b/>
          <w:color w:val="000000"/>
          <w:sz w:val="16"/>
        </w:rPr>
        <w:t>Carlsbad, California</w:t>
      </w:r>
      <w:r>
        <w:rPr>
          <w:rFonts w:ascii="Times New Roman" w:hAnsi="Times New Roman"/>
          <w:color w:val="000000"/>
          <w:sz w:val="20"/>
        </w:rPr>
        <w:t xml:space="preserve"> </w:t>
      </w:r>
      <w:r>
        <w:rPr>
          <w:rFonts w:ascii="Times New Roman" w:hAnsi="Times New Roman"/>
          <w:b/>
          <w:color w:val="000000"/>
          <w:sz w:val="16"/>
        </w:rPr>
        <w:t>92008</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 (Zip Code)</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16"/>
        </w:rPr>
        <w:t xml:space="preserve">Registrant’s telephone number, including area code </w:t>
      </w:r>
      <w:r>
        <w:rPr>
          <w:rFonts w:ascii="Times New Roman" w:hAnsi="Times New Roman"/>
          <w:b/>
          <w:color w:val="000000"/>
          <w:sz w:val="16"/>
        </w:rPr>
        <w:t>(442) 287-8990</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Securities registered pursuant to Section 12(b) of the Act</w:t>
      </w:r>
    </w:p>
    <w:p>
      <w:pPr>
        <w:pStyle w:val="TextBody"/>
        <w:bidi w:val="0"/>
        <w:jc w:val="center"/>
        <w:rPr/>
      </w:pPr>
      <w:r>
        <w:rPr/>
        <w:t> </w:t>
      </w:r>
    </w:p>
    <w:tbl>
      <w:tblPr>
        <w:tblW w:w="6221" w:type="dxa"/>
        <w:jc w:val="left"/>
        <w:tblInd w:w="0" w:type="dxa"/>
        <w:tblLayout w:type="fixed"/>
        <w:tblCellMar>
          <w:top w:w="28" w:type="dxa"/>
          <w:left w:w="28" w:type="dxa"/>
          <w:bottom w:w="28" w:type="dxa"/>
          <w:right w:w="28" w:type="dxa"/>
        </w:tblCellMar>
      </w:tblPr>
      <w:tblGrid>
        <w:gridCol w:w="1351"/>
        <w:gridCol w:w="109"/>
        <w:gridCol w:w="1426"/>
        <w:gridCol w:w="109"/>
        <w:gridCol w:w="3226"/>
      </w:tblGrid>
      <w:tr>
        <w:trPr/>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13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Title of each class</w:t>
            </w:r>
          </w:p>
        </w:tc>
        <w:tc>
          <w:tcPr>
            <w:tcW w:w="109"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Trading Symbol(s)</w:t>
            </w:r>
          </w:p>
        </w:tc>
        <w:tc>
          <w:tcPr>
            <w:tcW w:w="109"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135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LCTX</w:t>
            </w:r>
          </w:p>
        </w:tc>
        <w:tc>
          <w:tcPr>
            <w:tcW w:w="109"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6"/>
              </w:rPr>
              <w:t>NYSE</w:t>
            </w:r>
            <w:r>
              <w:rPr>
                <w:rFonts w:ascii="Times New Roman" w:hAnsi="Times New Roman"/>
                <w:color w:val="000000"/>
                <w:sz w:val="20"/>
              </w:rPr>
              <w:t> </w:t>
            </w:r>
            <w:r>
              <w:rPr>
                <w:rFonts w:ascii="Times New Roman" w:hAnsi="Times New Roman"/>
                <w:b/>
                <w:color w:val="000000"/>
                <w:sz w:val="16"/>
              </w:rPr>
              <w:t>American LLC</w:t>
            </w:r>
          </w:p>
        </w:tc>
      </w:tr>
    </w:tbl>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Securities registered pursuant to Section 12(g) of the Act: </w:t>
      </w:r>
      <w:r>
        <w:rPr>
          <w:rFonts w:ascii="Times New Roman" w:hAnsi="Times New Roman"/>
          <w:b/>
          <w:color w:val="000000"/>
          <w:sz w:val="16"/>
        </w:rPr>
        <w:t>None</w:t>
      </w:r>
    </w:p>
    <w:p>
      <w:pPr>
        <w:pStyle w:val="TextBody"/>
        <w:bidi w:val="0"/>
        <w:jc w:val="center"/>
        <w:rPr/>
      </w:pPr>
      <w:r>
        <w:rPr/>
        <w:t> </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Section 15(d) of the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142" w:type="dxa"/>
        <w:jc w:val="left"/>
        <w:tblInd w:w="0" w:type="dxa"/>
        <w:tblLayout w:type="fixed"/>
        <w:tblCellMar>
          <w:top w:w="28" w:type="dxa"/>
          <w:left w:w="28" w:type="dxa"/>
          <w:bottom w:w="28" w:type="dxa"/>
          <w:right w:w="28" w:type="dxa"/>
        </w:tblCellMar>
      </w:tblPr>
      <w:tblGrid>
        <w:gridCol w:w="1861"/>
        <w:gridCol w:w="2281"/>
      </w:tblGrid>
      <w:tr>
        <w:trPr/>
        <w:tc>
          <w:tcPr>
            <w:tcW w:w="1861"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186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 ☐</w:t>
            </w:r>
          </w:p>
        </w:tc>
        <w:tc>
          <w:tcPr>
            <w:tcW w:w="228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 ☐</w:t>
            </w:r>
          </w:p>
        </w:tc>
      </w:tr>
      <w:tr>
        <w:trPr/>
        <w:tc>
          <w:tcPr>
            <w:tcW w:w="1861"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Non-accelerated filer ☒</w:t>
            </w:r>
          </w:p>
        </w:tc>
        <w:tc>
          <w:tcPr>
            <w:tcW w:w="2281"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 xml:space="preserve">Smaller reporting company </w:t>
            </w:r>
            <w:r>
              <w:rPr>
                <w:rFonts w:ascii="Times New Roman" w:hAnsi="Times New Roman"/>
                <w:color w:val="000000"/>
                <w:sz w:val="20"/>
              </w:rPr>
              <w:t>☒</w:t>
            </w:r>
          </w:p>
        </w:tc>
      </w:tr>
      <w:tr>
        <w:trPr/>
        <w:tc>
          <w:tcPr>
            <w:tcW w:w="1861"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to Section 13(a) of the Exchange Act.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The aggregate market value of the registrant’s voting and non-voting common equity held by non-affiliates of the registrant, based on the closing price of the registrant's common shares on the NYSE American on June 30, 2023, the last business day of the registrant’s most recently completed second fiscal quarter, was $185.6</w:t>
      </w:r>
      <w:r>
        <w:rPr>
          <w:rFonts w:ascii="Times New Roman" w:hAnsi="Times New Roman"/>
          <w:color w:val="000000"/>
          <w:sz w:val="20"/>
        </w:rPr>
        <w:t xml:space="preserve"> </w:t>
      </w:r>
      <w:r>
        <w:rPr>
          <w:rFonts w:ascii="Times New Roman" w:hAnsi="Times New Roman"/>
          <w:color w:val="000000"/>
          <w:sz w:val="16"/>
        </w:rPr>
        <w:t>million.</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The number of common shares outstanding as of March 1, 2024 was 188,533,536.</w:t>
      </w:r>
    </w:p>
    <w:p>
      <w:pPr>
        <w:pStyle w:val="TextBody"/>
        <w:bidi w:val="0"/>
        <w:spacing w:before="120" w:after="283"/>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Portions of the registrant’s definitive proxy statement relating to its 2024 annual meeting of shareholders are incorporated by reference into Part III of this Annual Report on Form 10-K where indicated.</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1"/>
        <w:gridCol w:w="764"/>
        <w:gridCol w:w="8483"/>
        <w:gridCol w:w="797"/>
      </w:tblGrid>
      <w:tr>
        <w:trPr/>
        <w:tc>
          <w:tcPr>
            <w:tcW w:w="16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848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pPr>
            <w:r>
              <w:rPr/>
              <w:t> </w:t>
            </w:r>
          </w:p>
        </w:tc>
        <w:tc>
          <w:tcPr>
            <w:tcW w:w="8483" w:type="dxa"/>
            <w:tcBorders/>
            <w:vAlign w:val="center"/>
          </w:tcPr>
          <w:p>
            <w:pPr>
              <w:pStyle w:val="TableContents"/>
              <w:bidi w:val="0"/>
              <w:spacing w:before="0" w:after="283"/>
              <w:jc w:val="left"/>
              <w:rPr/>
            </w:pPr>
            <w:r>
              <w:rPr/>
              <w:t> </w:t>
            </w:r>
          </w:p>
        </w:tc>
        <w:tc>
          <w:tcPr>
            <w:tcW w:w="79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Page</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Number</w:t>
            </w:r>
          </w:p>
        </w:tc>
      </w:tr>
      <w:tr>
        <w:trPr/>
        <w:tc>
          <w:tcPr>
            <w:tcW w:w="9408" w:type="dxa"/>
            <w:gridSpan w:val="3"/>
            <w:tcBorders/>
            <w:vAlign w:val="center"/>
          </w:tcPr>
          <w:p>
            <w:pPr>
              <w:pStyle w:val="TableContents"/>
              <w:bidi w:val="0"/>
              <w:spacing w:before="0" w:after="283"/>
              <w:jc w:val="left"/>
              <w:rPr/>
            </w:pPr>
            <w:hyperlink w:anchor="part_i">
              <w:r>
                <w:rPr>
                  <w:rStyle w:val="InternetLink"/>
                  <w:rFonts w:ascii="Times New Roman" w:hAnsi="Times New Roman"/>
                  <w:color w:val="0000FF"/>
                  <w:sz w:val="20"/>
                  <w:u w:val="single"/>
                </w:rPr>
                <w:t>Part I.</w:t>
              </w:r>
            </w:hyperlink>
          </w:p>
        </w:tc>
        <w:tc>
          <w:tcPr>
            <w:tcW w:w="797"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 </w:t>
            </w:r>
          </w:p>
        </w:tc>
        <w:tc>
          <w:tcPr>
            <w:tcW w:w="8483" w:type="dxa"/>
            <w:tcBorders/>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r>
              <w:rPr>
                <w:rFonts w:ascii="Times New Roman" w:hAnsi="Times New Roman"/>
                <w:color w:val="000000"/>
                <w:sz w:val="20"/>
              </w:rPr>
              <w:t xml:space="preserve"> </w:t>
            </w:r>
          </w:p>
        </w:tc>
        <w:tc>
          <w:tcPr>
            <w:tcW w:w="7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1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483" w:type="dxa"/>
            <w:tcBorders/>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7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r>
      <w:tr>
        <w:trPr/>
        <w:tc>
          <w:tcPr>
            <w:tcW w:w="1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1B </w:t>
            </w:r>
          </w:p>
        </w:tc>
        <w:tc>
          <w:tcPr>
            <w:tcW w:w="8483" w:type="dxa"/>
            <w:tcBorders/>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7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w:t>
            </w:r>
          </w:p>
        </w:tc>
      </w:tr>
      <w:tr>
        <w:trPr/>
        <w:tc>
          <w:tcPr>
            <w:tcW w:w="1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8483" w:type="dxa"/>
            <w:tcBorders/>
            <w:vAlign w:val="center"/>
          </w:tcPr>
          <w:p>
            <w:pPr>
              <w:pStyle w:val="TableContents"/>
              <w:bidi w:val="0"/>
              <w:spacing w:before="0" w:after="283"/>
              <w:jc w:val="left"/>
              <w:rPr/>
            </w:pPr>
            <w:hyperlink w:anchor="item_3c_cybersecurity">
              <w:r>
                <w:rPr>
                  <w:rStyle w:val="InternetLink"/>
                  <w:rFonts w:ascii="Times New Roman" w:hAnsi="Times New Roman"/>
                  <w:color w:val="0000FF"/>
                  <w:sz w:val="20"/>
                  <w:u w:val="single"/>
                </w:rPr>
                <w:t>Cybersecurity</w:t>
              </w:r>
            </w:hyperlink>
          </w:p>
        </w:tc>
        <w:tc>
          <w:tcPr>
            <w:tcW w:w="7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w:t>
            </w:r>
          </w:p>
        </w:tc>
      </w:tr>
      <w:tr>
        <w:trPr/>
        <w:tc>
          <w:tcPr>
            <w:tcW w:w="1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2 </w:t>
            </w:r>
          </w:p>
        </w:tc>
        <w:tc>
          <w:tcPr>
            <w:tcW w:w="8483" w:type="dxa"/>
            <w:tcBorders/>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7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w:t>
            </w:r>
          </w:p>
        </w:tc>
      </w:tr>
      <w:tr>
        <w:trPr/>
        <w:tc>
          <w:tcPr>
            <w:tcW w:w="1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3 </w:t>
            </w:r>
          </w:p>
        </w:tc>
        <w:tc>
          <w:tcPr>
            <w:tcW w:w="8483" w:type="dxa"/>
            <w:tcBorders/>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7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w:t>
            </w:r>
          </w:p>
        </w:tc>
      </w:tr>
      <w:tr>
        <w:trPr/>
        <w:tc>
          <w:tcPr>
            <w:tcW w:w="1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4 </w:t>
            </w:r>
          </w:p>
        </w:tc>
        <w:tc>
          <w:tcPr>
            <w:tcW w:w="8483"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7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w:t>
            </w:r>
          </w:p>
        </w:tc>
      </w:tr>
      <w:tr>
        <w:trPr/>
        <w:tc>
          <w:tcPr>
            <w:tcW w:w="1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pPr>
            <w:r>
              <w:rPr/>
              <w:t> </w:t>
            </w:r>
          </w:p>
        </w:tc>
        <w:tc>
          <w:tcPr>
            <w:tcW w:w="8483"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r>
      <w:tr>
        <w:trPr/>
        <w:tc>
          <w:tcPr>
            <w:tcW w:w="9408" w:type="dxa"/>
            <w:gridSpan w:val="3"/>
            <w:tcBorders/>
            <w:vAlign w:val="center"/>
          </w:tcPr>
          <w:p>
            <w:pPr>
              <w:pStyle w:val="TableContents"/>
              <w:bidi w:val="0"/>
              <w:spacing w:before="0" w:after="283"/>
              <w:jc w:val="left"/>
              <w:rPr/>
            </w:pPr>
            <w:hyperlink w:anchor="part_ii">
              <w:r>
                <w:rPr>
                  <w:rStyle w:val="InternetLink"/>
                  <w:rFonts w:ascii="Times New Roman" w:hAnsi="Times New Roman"/>
                  <w:color w:val="0000FF"/>
                  <w:sz w:val="20"/>
                  <w:u w:val="single"/>
                </w:rPr>
                <w:t>Part II.</w:t>
              </w:r>
            </w:hyperlink>
          </w:p>
        </w:tc>
        <w:tc>
          <w:tcPr>
            <w:tcW w:w="797"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5 </w:t>
            </w:r>
          </w:p>
        </w:tc>
        <w:tc>
          <w:tcPr>
            <w:tcW w:w="8483" w:type="dxa"/>
            <w:tcBorders/>
            <w:vAlign w:val="center"/>
          </w:tcPr>
          <w:p>
            <w:pPr>
              <w:pStyle w:val="TableContents"/>
              <w:bidi w:val="0"/>
              <w:spacing w:before="0" w:after="283"/>
              <w:jc w:val="left"/>
              <w:rPr/>
            </w:pPr>
            <w:hyperlink w:anchor="item_5_market_for_registrants">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7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w:t>
            </w:r>
          </w:p>
        </w:tc>
      </w:tr>
      <w:tr>
        <w:trPr/>
        <w:tc>
          <w:tcPr>
            <w:tcW w:w="1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6 </w:t>
            </w:r>
          </w:p>
        </w:tc>
        <w:tc>
          <w:tcPr>
            <w:tcW w:w="8483" w:type="dxa"/>
            <w:tcBorders/>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7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w:t>
            </w:r>
          </w:p>
        </w:tc>
      </w:tr>
      <w:tr>
        <w:trPr/>
        <w:tc>
          <w:tcPr>
            <w:tcW w:w="1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7 </w:t>
            </w:r>
          </w:p>
        </w:tc>
        <w:tc>
          <w:tcPr>
            <w:tcW w:w="8483" w:type="dxa"/>
            <w:tcBorders/>
            <w:vAlign w:val="center"/>
          </w:tcPr>
          <w:p>
            <w:pPr>
              <w:pStyle w:val="TableContents"/>
              <w:bidi w:val="0"/>
              <w:spacing w:before="0" w:after="283"/>
              <w:jc w:val="left"/>
              <w:rPr/>
            </w:pPr>
            <w:hyperlink w:anchor="item_7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7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w:t>
            </w:r>
          </w:p>
        </w:tc>
      </w:tr>
      <w:tr>
        <w:trPr/>
        <w:tc>
          <w:tcPr>
            <w:tcW w:w="1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7A </w:t>
            </w:r>
          </w:p>
        </w:tc>
        <w:tc>
          <w:tcPr>
            <w:tcW w:w="8483" w:type="dxa"/>
            <w:tcBorders/>
            <w:vAlign w:val="center"/>
          </w:tcPr>
          <w:p>
            <w:pPr>
              <w:pStyle w:val="TableContents"/>
              <w:bidi w:val="0"/>
              <w:spacing w:before="0" w:after="283"/>
              <w:jc w:val="left"/>
              <w:rPr/>
            </w:pPr>
            <w:hyperlink w:anchor="item_7a_quantitative_and_qualitative">
              <w:r>
                <w:rPr>
                  <w:rStyle w:val="InternetLink"/>
                  <w:rFonts w:ascii="Times New Roman" w:hAnsi="Times New Roman"/>
                  <w:color w:val="0000FF"/>
                  <w:sz w:val="20"/>
                  <w:u w:val="single"/>
                </w:rPr>
                <w:t>Quantitative and Qualitative Disclosures about Market Risk</w:t>
              </w:r>
            </w:hyperlink>
          </w:p>
        </w:tc>
        <w:tc>
          <w:tcPr>
            <w:tcW w:w="7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89</w:t>
            </w:r>
          </w:p>
        </w:tc>
      </w:tr>
      <w:tr>
        <w:trPr/>
        <w:tc>
          <w:tcPr>
            <w:tcW w:w="1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8 </w:t>
            </w:r>
          </w:p>
        </w:tc>
        <w:tc>
          <w:tcPr>
            <w:tcW w:w="8483" w:type="dxa"/>
            <w:tcBorders/>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20"/>
                  <w:u w:val="single"/>
                </w:rPr>
                <w:t>Financial Statements and Supplementary Data</w:t>
              </w:r>
            </w:hyperlink>
          </w:p>
        </w:tc>
        <w:tc>
          <w:tcPr>
            <w:tcW w:w="7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w:t>
            </w:r>
          </w:p>
        </w:tc>
      </w:tr>
      <w:tr>
        <w:trPr/>
        <w:tc>
          <w:tcPr>
            <w:tcW w:w="1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9 </w:t>
            </w:r>
          </w:p>
        </w:tc>
        <w:tc>
          <w:tcPr>
            <w:tcW w:w="8483" w:type="dxa"/>
            <w:tcBorders/>
            <w:vAlign w:val="center"/>
          </w:tcPr>
          <w:p>
            <w:pPr>
              <w:pStyle w:val="TableContents"/>
              <w:bidi w:val="0"/>
              <w:spacing w:before="0" w:after="283"/>
              <w:jc w:val="left"/>
              <w:rPr/>
            </w:pPr>
            <w:hyperlink w:anchor="item_9_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7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127</w:t>
            </w:r>
          </w:p>
        </w:tc>
      </w:tr>
      <w:tr>
        <w:trPr/>
        <w:tc>
          <w:tcPr>
            <w:tcW w:w="1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8483" w:type="dxa"/>
            <w:tcBorders/>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7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127</w:t>
            </w:r>
          </w:p>
        </w:tc>
      </w:tr>
      <w:tr>
        <w:trPr/>
        <w:tc>
          <w:tcPr>
            <w:tcW w:w="1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8483" w:type="dxa"/>
            <w:tcBorders/>
            <w:vAlign w:val="center"/>
          </w:tcPr>
          <w:p>
            <w:pPr>
              <w:pStyle w:val="TableContents"/>
              <w:bidi w:val="0"/>
              <w:spacing w:before="0" w:after="283"/>
              <w:jc w:val="left"/>
              <w:rPr/>
            </w:pPr>
            <w:hyperlink w:anchor="item_9b_other_information">
              <w:r>
                <w:rPr>
                  <w:rStyle w:val="InternetLink"/>
                  <w:rFonts w:ascii="Times New Roman" w:hAnsi="Times New Roman"/>
                  <w:color w:val="0000FF"/>
                  <w:sz w:val="20"/>
                  <w:u w:val="single"/>
                </w:rPr>
                <w:t>Other Information</w:t>
              </w:r>
            </w:hyperlink>
          </w:p>
        </w:tc>
        <w:tc>
          <w:tcPr>
            <w:tcW w:w="7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128</w:t>
            </w:r>
          </w:p>
        </w:tc>
      </w:tr>
      <w:tr>
        <w:trPr/>
        <w:tc>
          <w:tcPr>
            <w:tcW w:w="1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8483" w:type="dxa"/>
            <w:tcBorders/>
            <w:vAlign w:val="center"/>
          </w:tcPr>
          <w:p>
            <w:pPr>
              <w:pStyle w:val="TableContents"/>
              <w:bidi w:val="0"/>
              <w:spacing w:before="0" w:after="283"/>
              <w:jc w:val="left"/>
              <w:rPr/>
            </w:pPr>
            <w:hyperlink w:anchor="item_9c_disclosure_regarding_foreign">
              <w:r>
                <w:rPr>
                  <w:rStyle w:val="InternetLink"/>
                  <w:rFonts w:ascii="Times New Roman" w:hAnsi="Times New Roman"/>
                  <w:color w:val="0000FF"/>
                  <w:sz w:val="20"/>
                  <w:u w:val="single"/>
                </w:rPr>
                <w:t>Disclosure Regarding Foreign Jurisdictions that Present Inspections</w:t>
              </w:r>
            </w:hyperlink>
          </w:p>
        </w:tc>
        <w:tc>
          <w:tcPr>
            <w:tcW w:w="7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128</w:t>
            </w:r>
          </w:p>
        </w:tc>
      </w:tr>
      <w:tr>
        <w:trPr/>
        <w:tc>
          <w:tcPr>
            <w:tcW w:w="1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pPr>
            <w:r>
              <w:rPr/>
              <w:t> </w:t>
            </w:r>
          </w:p>
        </w:tc>
        <w:tc>
          <w:tcPr>
            <w:tcW w:w="8483"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r>
      <w:tr>
        <w:trPr/>
        <w:tc>
          <w:tcPr>
            <w:tcW w:w="925" w:type="dxa"/>
            <w:gridSpan w:val="2"/>
            <w:tcBorders/>
            <w:vAlign w:val="center"/>
          </w:tcPr>
          <w:p>
            <w:pPr>
              <w:pStyle w:val="TableContents"/>
              <w:bidi w:val="0"/>
              <w:spacing w:before="0" w:after="283"/>
              <w:jc w:val="left"/>
              <w:rPr/>
            </w:pPr>
            <w:hyperlink w:anchor="part_iii">
              <w:r>
                <w:rPr>
                  <w:rStyle w:val="InternetLink"/>
                  <w:rFonts w:ascii="Times New Roman" w:hAnsi="Times New Roman"/>
                  <w:color w:val="0000FF"/>
                  <w:sz w:val="20"/>
                  <w:u w:val="single"/>
                </w:rPr>
                <w:t>Part III.</w:t>
              </w:r>
            </w:hyperlink>
          </w:p>
        </w:tc>
        <w:tc>
          <w:tcPr>
            <w:tcW w:w="8483"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483" w:type="dxa"/>
            <w:tcBorders/>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7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129</w:t>
            </w:r>
          </w:p>
        </w:tc>
      </w:tr>
      <w:tr>
        <w:trPr/>
        <w:tc>
          <w:tcPr>
            <w:tcW w:w="1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483" w:type="dxa"/>
            <w:tcBorders/>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7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129</w:t>
            </w:r>
          </w:p>
        </w:tc>
      </w:tr>
      <w:tr>
        <w:trPr/>
        <w:tc>
          <w:tcPr>
            <w:tcW w:w="1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483" w:type="dxa"/>
            <w:tcBorders/>
            <w:vAlign w:val="center"/>
          </w:tcPr>
          <w:p>
            <w:pPr>
              <w:pStyle w:val="TableContents"/>
              <w:bidi w:val="0"/>
              <w:spacing w:before="0" w:after="283"/>
              <w:jc w:val="left"/>
              <w:rPr/>
            </w:pPr>
            <w:hyperlink w:anchor="item_12_security_ownership">
              <w:r>
                <w:rPr>
                  <w:rStyle w:val="InternetLink"/>
                  <w:rFonts w:ascii="Times New Roman" w:hAnsi="Times New Roman"/>
                  <w:color w:val="0000FF"/>
                  <w:sz w:val="20"/>
                  <w:u w:val="single"/>
                </w:rPr>
                <w:t>Security Ownership of Certain Beneficial Owners and Management and Related Stockholder Matters</w:t>
              </w:r>
            </w:hyperlink>
          </w:p>
        </w:tc>
        <w:tc>
          <w:tcPr>
            <w:tcW w:w="7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129</w:t>
            </w:r>
          </w:p>
        </w:tc>
      </w:tr>
      <w:tr>
        <w:trPr/>
        <w:tc>
          <w:tcPr>
            <w:tcW w:w="1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483" w:type="dxa"/>
            <w:tcBorders/>
            <w:vAlign w:val="center"/>
          </w:tcPr>
          <w:p>
            <w:pPr>
              <w:pStyle w:val="TableContents"/>
              <w:bidi w:val="0"/>
              <w:spacing w:before="0" w:after="283"/>
              <w:jc w:val="left"/>
              <w:rPr/>
            </w:pPr>
            <w:hyperlink w:anchor="item_13_certain_relationships">
              <w:r>
                <w:rPr>
                  <w:rStyle w:val="InternetLink"/>
                  <w:rFonts w:ascii="Times New Roman" w:hAnsi="Times New Roman"/>
                  <w:color w:val="0000FF"/>
                  <w:sz w:val="20"/>
                  <w:u w:val="single"/>
                </w:rPr>
                <w:t>Certain Relationships and Related Transactions, and Director Independence</w:t>
              </w:r>
            </w:hyperlink>
          </w:p>
        </w:tc>
        <w:tc>
          <w:tcPr>
            <w:tcW w:w="7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129</w:t>
            </w:r>
          </w:p>
        </w:tc>
      </w:tr>
      <w:tr>
        <w:trPr/>
        <w:tc>
          <w:tcPr>
            <w:tcW w:w="1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8483" w:type="dxa"/>
            <w:tcBorders/>
            <w:vAlign w:val="center"/>
          </w:tcPr>
          <w:p>
            <w:pPr>
              <w:pStyle w:val="TableContents"/>
              <w:bidi w:val="0"/>
              <w:spacing w:before="0" w:after="283"/>
              <w:jc w:val="left"/>
              <w:rPr/>
            </w:pPr>
            <w:hyperlink w:anchor="item_14_principal_accountant_fees">
              <w:r>
                <w:rPr>
                  <w:rStyle w:val="InternetLink"/>
                  <w:rFonts w:ascii="Times New Roman" w:hAnsi="Times New Roman"/>
                  <w:color w:val="0000FF"/>
                  <w:sz w:val="20"/>
                  <w:u w:val="single"/>
                </w:rPr>
                <w:t>Principal Accountant Fees and Services</w:t>
              </w:r>
            </w:hyperlink>
          </w:p>
        </w:tc>
        <w:tc>
          <w:tcPr>
            <w:tcW w:w="7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129</w:t>
            </w:r>
          </w:p>
        </w:tc>
      </w:tr>
      <w:tr>
        <w:trPr/>
        <w:tc>
          <w:tcPr>
            <w:tcW w:w="1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pPr>
            <w:r>
              <w:rPr/>
              <w:t> </w:t>
            </w:r>
          </w:p>
        </w:tc>
        <w:tc>
          <w:tcPr>
            <w:tcW w:w="8483"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r>
      <w:tr>
        <w:trPr/>
        <w:tc>
          <w:tcPr>
            <w:tcW w:w="925" w:type="dxa"/>
            <w:gridSpan w:val="2"/>
            <w:tcBorders/>
            <w:vAlign w:val="center"/>
          </w:tcPr>
          <w:p>
            <w:pPr>
              <w:pStyle w:val="TableContents"/>
              <w:bidi w:val="0"/>
              <w:spacing w:before="0" w:after="283"/>
              <w:jc w:val="left"/>
              <w:rPr/>
            </w:pPr>
            <w:hyperlink w:anchor="part_iv">
              <w:r>
                <w:rPr>
                  <w:rStyle w:val="InternetLink"/>
                  <w:rFonts w:ascii="Times New Roman" w:hAnsi="Times New Roman"/>
                  <w:color w:val="0000FF"/>
                  <w:sz w:val="20"/>
                  <w:u w:val="single"/>
                </w:rPr>
                <w:t>Part IV.</w:t>
              </w:r>
            </w:hyperlink>
          </w:p>
        </w:tc>
        <w:tc>
          <w:tcPr>
            <w:tcW w:w="8483"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15 </w:t>
            </w:r>
          </w:p>
        </w:tc>
        <w:tc>
          <w:tcPr>
            <w:tcW w:w="8483" w:type="dxa"/>
            <w:tcBorders/>
            <w:vAlign w:val="center"/>
          </w:tcPr>
          <w:p>
            <w:pPr>
              <w:pStyle w:val="TableContents"/>
              <w:bidi w:val="0"/>
              <w:spacing w:before="0" w:after="283"/>
              <w:jc w:val="left"/>
              <w:rPr/>
            </w:pPr>
            <w:hyperlink w:anchor="item_15_exhibits_and_financial">
              <w:r>
                <w:rPr>
                  <w:rStyle w:val="InternetLink"/>
                  <w:rFonts w:ascii="Times New Roman" w:hAnsi="Times New Roman"/>
                  <w:color w:val="0000FF"/>
                  <w:sz w:val="20"/>
                  <w:u w:val="single"/>
                </w:rPr>
                <w:t>Exhibits and Financial Statements Schedules</w:t>
              </w:r>
            </w:hyperlink>
          </w:p>
        </w:tc>
        <w:tc>
          <w:tcPr>
            <w:tcW w:w="7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130</w:t>
            </w:r>
          </w:p>
        </w:tc>
      </w:tr>
      <w:tr>
        <w:trPr/>
        <w:tc>
          <w:tcPr>
            <w:tcW w:w="1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16 </w:t>
            </w:r>
          </w:p>
        </w:tc>
        <w:tc>
          <w:tcPr>
            <w:tcW w:w="8483" w:type="dxa"/>
            <w:tcBorders/>
            <w:vAlign w:val="center"/>
          </w:tcPr>
          <w:p>
            <w:pPr>
              <w:pStyle w:val="TableContents"/>
              <w:bidi w:val="0"/>
              <w:spacing w:before="0" w:after="283"/>
              <w:jc w:val="left"/>
              <w:rPr/>
            </w:pPr>
            <w:hyperlink w:anchor="item_16_form_10_k_summary">
              <w:r>
                <w:rPr>
                  <w:rStyle w:val="InternetLink"/>
                  <w:rFonts w:ascii="Times New Roman" w:hAnsi="Times New Roman"/>
                  <w:color w:val="0000FF"/>
                  <w:sz w:val="20"/>
                  <w:u w:val="single"/>
                </w:rPr>
                <w:t>Form 10-K Summary</w:t>
              </w:r>
            </w:hyperlink>
          </w:p>
        </w:tc>
        <w:tc>
          <w:tcPr>
            <w:tcW w:w="7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133</w:t>
            </w:r>
          </w:p>
        </w:tc>
      </w:tr>
      <w:tr>
        <w:trPr/>
        <w:tc>
          <w:tcPr>
            <w:tcW w:w="1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pPr>
            <w:r>
              <w:rPr/>
              <w:t> </w:t>
            </w:r>
          </w:p>
        </w:tc>
        <w:tc>
          <w:tcPr>
            <w:tcW w:w="8483"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r>
      <w:tr>
        <w:trPr/>
        <w:tc>
          <w:tcPr>
            <w:tcW w:w="9408" w:type="dxa"/>
            <w:gridSpan w:val="3"/>
            <w:tcBorders/>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7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134</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w:t>
      </w:r>
    </w:p>
    <w:p>
      <w:pPr>
        <w:pStyle w:val="TextBody"/>
        <w:bidi w:val="0"/>
        <w:spacing w:before="240" w:after="283"/>
        <w:jc w:val="center"/>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report contains forward-looking statements within the meaning of Section 27A of the Securities Act of 1933, as amended, and Section 21E of the Securities Exchange Act of 1934, as amended (the “Exchange Act”), that involve substantial risks and uncertainties. The forward-looking statements are contained principally in Part I, Item 1. “Business,” Part I, Item 1A. “Risk Factors,” and Part II, Item 7. “Management’s Discussion and Analysis of Financial Condition and Results of Operations,” but are also contained elsewhere in this report. We make such forward-looking statements pursuant to the safe harbor provisions of the Private Securities Litigation Reform Act of 1995 and other federal securities laws. All statements other than statements of historical facts contained in this report are forward-looking statements.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Forward-looking statements in this report include, but are not limited to,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to receive developmental, regulatory, and commercialization milestone and royalty payments under our Collaboration and License Agreement with F. Hoffmann-La Roche Ltd and Genentech, Inc.;</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to research, develop and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initiation, progress, success, cost and timing of our clinical trials and other product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therapeutic potential of our product candidates, and the indications for which we intend to develop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successfully manufacture our product candidates for clinical development and, if approved, for commercialization, and the timing and costs of such manufacture;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of our cell therapy platform;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additional capital to fund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and plans regarding existing and potential future collaborations with third parties such as pharmaceutical and biotechnology companies, government agencies, academic laboratories, and research institutes for the discovery, development, and/or commercialization of novel cell therapy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and growth of the potential markets for our product candidates and our ability to serve those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scope and value of our intellectual property rights;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effects on our operations of the Israel-Hamas war, other geopolitical conflicts, political and economic instability, public health emergencies and macroeconomic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Forward-looking statements reflect our views and expectations as of the date of this report about future events and our future performance and condition, and involve known and unknown risks, uncertainties and other factors that may cause our actual activities, performance, results or condition to be materially different from those expressed or implied by the forward-looking statements. You should refer to Part I, Item 1A. “Risk Factors” of this report for a discussion of important factors that may cause our actual activities, performance, results and condition to differ materially from those expressed or implied by our forward-looking statements. As a result of a variety of factors, including those discussed in Part I, Item 1A. of this report, our forward-looking statements may prove to be inaccurate, and the inaccuracy may be material. Accordingly, you should not place undue reliance on any forward-looking statement. We anticipate that subsequent events and developments may cause our current views and expectations to change. However, while we may elect to update the forward-looking statements in this report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after the date of this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You should read this report and the documents that we reference in this report completely and with the understanding that our actual future performance, results and condition may be materially different from what we expect. We qualify all of our forward-looking statements by these cautionary statements.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report also contains market data, industry forecasts and other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All brand names or trademarks appearing in this report are the property of their respective owners. Solely for convenience, the trademarks and trade names in this report may be referred to without the symbols </w:t>
      </w:r>
      <w:r>
        <w:rPr>
          <w:rFonts w:ascii="Times New Roman" w:hAnsi="Times New Roman"/>
          <w:color w:val="000000"/>
          <w:sz w:val="13"/>
        </w:rPr>
        <w:t>®</w:t>
      </w:r>
      <w:r>
        <w:rPr>
          <w:rFonts w:ascii="Times New Roman" w:hAnsi="Times New Roman"/>
          <w:color w:val="000000"/>
          <w:sz w:val="20"/>
        </w:rPr>
        <w:t xml:space="preserve"> and </w:t>
      </w:r>
      <w:r>
        <w:rPr>
          <w:rFonts w:ascii="Times New Roman" w:hAnsi="Times New Roman"/>
          <w:color w:val="000000"/>
          <w:sz w:val="13"/>
        </w:rPr>
        <w:t>TM</w:t>
      </w:r>
      <w:r>
        <w:rPr>
          <w:rFonts w:ascii="Times New Roman" w:hAnsi="Times New Roman"/>
          <w:color w:val="000000"/>
          <w:sz w:val="20"/>
        </w:rPr>
        <w:t xml:space="preserve">, but such references should not be construed as any indication that their respective owners will not assert, to the fullest extent under applicable law, their rights thereto.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otherwise stated or the context requires otherwise, references in this report to “Lineage,” the “Company,” “our company,” “we,” “us,” and “our” refer collectively to Lineage Cell Therapeutics, Inc. and its consolidated subsidiaries.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120" w:after="283"/>
        <w:jc w:val="both"/>
        <w:rPr>
          <w:rFonts w:ascii="Times New Roman" w:hAnsi="Times New Roman"/>
          <w:sz w:val="20"/>
        </w:rPr>
      </w:pPr>
      <w:r>
        <w:rPr>
          <w:rFonts w:ascii="Times New Roman" w:hAnsi="Times New Roman"/>
          <w:i/>
          <w:color w:val="000000"/>
          <w:sz w:val="20"/>
        </w:rPr>
        <w:t>Below is a summary of the material factors that make an investment in our common shares speculative or risky. This summary does not address all of the risks that we face. Additional discussion of the risks summarized in this risk factor summary, and other risks that we face, can be found below under the heading “Risk Factors” in Item 1A of Part I of this report and should be carefully considered, together with other information in this report and our other filings with the Securities and Exchange Commission (the “SEC”) before making investment decisions regarding our common shares.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operating losses since inception, and we do not know if or when we will attain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investigational allogeneic cell therapies represent a novel approach to the treatment of serious medical conditions, which gives rise to significant challenges. Clinical development of our product candidates is a lengthy and expensive process with a high level of uncertainty as to timing and ultimate outcome. We or our collaborators may not succeed in developing or obtaining regulatory approval to market and sell any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continue to spend a substantial amount of our capital on research and development, but we might not succeed in developing products and technologies that are safe and effective for their target indications or commercially viable.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need to raise substantial additional capital to complete the development and seek regulatory approval of our product candidates and to commercialize products approved for marketing, if any, and capital raising transactions may cause dilution to our existing shareholders, restrict our operations, or require us to relinquish rights to or dilute our economic interest in our product candidates or technology. If we are unable to obtain adequate capital, we may delay, reduce, limit the pace of, suspend or discontinue our product and technology development programs, which could significantly harm our business and prospects and cause the market price of our common shares to decline.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dependent on our third-party collaboration with Roche to develop and commercialize RG6501 (OpRegen®). If Roche is not successful in developing and commercializing OpRegen and/or Roche terminates the collaboration, we will lose a significant source of potential revenue, development and potential regulatory approval of OpRegen may be significantly delayed, and we may not be successful in establishing an alternative strategic collaboration or pursuing independent development and commercialization of OpRegen.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meet our obligations under our in-license agreements, we may lose our rights to key technologies on which our business depends.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our manufacturing operations currently are conducted at our facility in Jerusalem, Israel. Accordingly, political and economic conditions in Israel and war, terrorist attacks or other armed conflicts involving Israel, such as the Israel-Hamas war, could directly affect our business. Any event or condition that significantly disrupts our ordinary course of operations at our Jerusalem facility could harm our business and materially and adversely affect our financial condition and operating results. Further, our operations in Israel expose us to additional business, regulatory, political, operational, financial and economic risks associated with doing business outside of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subsidiary Cell Cure Neurosciences Ltd. has received Israeli government grants for certain of its research and development activities. The terms of these grants may require us to seek approvals and to satisfy specified conditions to manufacture products and transfer or license grant-supported technologies outside of Israel. In the context of such approvals, we will be required to pay penalties in addition to the repayment of the grants.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relied on grant funding from CIRM (defined below) to support clinical development of OPC1 and we may not be able to obtain additional CIRM funding on a timely basis, or at all, which could adversely impact our ability to conduct and complete the DOSED clinical study of OPC1 (described below). In addition, our profits from the sale of products resulting from CIRM-funded development, if any, will be reduced by amounts that we are required to pay CIRM.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could be materially and adversely affected in the future by the effects of a public health crisis.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could be adversely affected if we lose the services of the key personnel upon whom we depend or if we fail to attract and retain senior management and key scientific personnel.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Taxing authorities could reallocate our taxable income among our subsidiaries, which could increase our overall tax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Government-imposed bans or restrictions and religious, moral, and ethical concerns about the use of human embryonic stem cells could prevent us from developing and successfully marketing stem cell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Some of our product candidates may be considered combination products by the U.S. Food and Drug Administration (“FDA”) and other regulatory authorities, which could increase the complexity, cost and timeline for their development and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Legislation and legislative, executive and regulatory proposals and actions intended to contain health care costs may adversely affect our business.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granted orphan drug designation to OPC1 for the treatment of acute spinal cord injuries, but there is no guarantee we will be able to maintain, or obtain the benefits associated with, such designation.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results of preclinical studies and early clinical trials are not necessarily predictive of future results.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Interim, topline and preliminary data from clinical trials of our product candidates that we or our collaborators publicly disclose from time to time may change as more patient data become available and are subject to audit and verification procedures that could result in final clinical data that is materially different and unfavorable.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limited experience manufacturing our product candidates on a clinical scale and no experience manufacturing on a commercial scale. Any failure to manufacture our product candidates in sufficient quantities in accordance with applicable quality standards and regulatory requirements and at acceptable costs may result in significant clinical development delays, or impair the ability to obtain approval for or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or disruptions to the manufacturing operations and processes for our product candidates could significantly delay and increase the costs of clinical development and commercialization,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commercial success of any product candidate will depend upon the degree of market acceptance by physicians, patients and third-party payors.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significant competition and the possibility that our competitors may develop therapies that are more effective, safer, more convenient, or less expensive than our product candidates. In addition, competitive products may be approved and successfully commercialized before ours, which may adversely affect our ability, or that of a strategic collaborator, to successfully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potential product liability claims, and, if successful claims are brought against us, we may incur substantial liability and costs. If the use or misuse of our products or product candidates harm patients or is perceived to harm patients, our regulatory approvals could be revoked, suspended or otherwise negatively affected, and our reputation could suffer.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have no marketing and sales force or distribution capabilities.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intellectual property may be insufficient to protect our products and we may become subject to claims of infringement of the intellectual property of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rely on third parties, including strategic collaborators, clinical research organizations, medical institutions, clinical investigators, consultants, sole source suppliers of specialized materials and equipment, to advance the development of our product candidates and we may encounter significant challenges or delays as a result of our lack of control over those third parties, including increased costs and timelines for clinical trials of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Insiders continue to have substantial influence over our company, which could limit your ability to influence the outcome of key transactions, including a change of control.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 w:name="item_1_business"/>
      <w:bookmarkEnd w:id="3"/>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 BUSINESS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are a clinical-stage biotechnology company developing novel allogeneic, or "off-the-shelf," cell therapies to address unmet medical needs. Our programs are based on our proprietary cell-based technology platform and associated development and manufacturing capabilities. From this platform, we design, develop, manufacture, and test specialized human cells with anatomical and physiological functions similar or identical to cells found naturally in the human body. The cells we manufacture are created by applying directed differentiation protocols to established, well-characterized, and self-renewing pluripotent cell lines. These protocols generate cells with characteristics associated with specific and desired developmental lineages. Cells derived from such lineages which are relevant to the underlying condition are transplanted into patients in an effort to (a) </w:t>
      </w:r>
      <w:r>
        <w:rPr>
          <w:rFonts w:ascii="Times New Roman" w:hAnsi="Times New Roman"/>
          <w:i/>
          <w:color w:val="000000"/>
          <w:sz w:val="20"/>
        </w:rPr>
        <w:t>replace</w:t>
      </w:r>
      <w:r>
        <w:rPr>
          <w:rFonts w:ascii="Times New Roman" w:hAnsi="Times New Roman"/>
          <w:color w:val="000000"/>
          <w:sz w:val="20"/>
        </w:rPr>
        <w:t xml:space="preserve"> or support cells that are absent or dysfunctional due to degenerative disease, aging, or traumatic injury, and (b) </w:t>
      </w:r>
      <w:r>
        <w:rPr>
          <w:rFonts w:ascii="Times New Roman" w:hAnsi="Times New Roman"/>
          <w:i/>
          <w:color w:val="000000"/>
          <w:sz w:val="20"/>
        </w:rPr>
        <w:t>restore</w:t>
      </w:r>
      <w:r>
        <w:rPr>
          <w:rFonts w:ascii="Times New Roman" w:hAnsi="Times New Roman"/>
          <w:color w:val="000000"/>
          <w:sz w:val="20"/>
        </w:rPr>
        <w:t xml:space="preserve"> or augment the patient's functional activity.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business strategy is to efficiently leverage our technology platform and our development, formulation, delivery, and manufacturing capabilities to advance our programs internally or in conjunction with strategic partners to further enhance their value and probability of success.</w:t>
      </w:r>
    </w:p>
    <w:p>
      <w:pPr>
        <w:pStyle w:val="TextBody"/>
        <w:bidi w:val="0"/>
        <w:spacing w:before="240" w:after="283"/>
        <w:jc w:val="both"/>
        <w:rPr>
          <w:rFonts w:ascii="Times New Roman" w:hAnsi="Times New Roman"/>
          <w:sz w:val="20"/>
        </w:rPr>
      </w:pPr>
      <w:r>
        <w:rPr>
          <w:rFonts w:ascii="Times New Roman" w:hAnsi="Times New Roman"/>
          <w:color w:val="000000"/>
          <w:sz w:val="20"/>
        </w:rPr>
        <w:t>A significant area of focus is a collaboration we entered into with F. Hoffmann-La Roche Ltd and Genentech, Inc., a member of the Roche Group (collectively or individually, “Roche” or “Genentech”), under which our lead cell therapy program known as OpRegen</w:t>
      </w:r>
      <w:r>
        <w:rPr>
          <w:rFonts w:ascii="Times New Roman" w:hAnsi="Times New Roman"/>
          <w:color w:val="000000"/>
          <w:sz w:val="13"/>
        </w:rPr>
        <w:t>®</w:t>
      </w:r>
      <w:r>
        <w:rPr>
          <w:rFonts w:ascii="Times New Roman" w:hAnsi="Times New Roman"/>
          <w:color w:val="000000"/>
          <w:sz w:val="20"/>
        </w:rPr>
        <w:t>, is being developed for the treatment of ocular disorders, including geographic atrophy (“GA”) secondary to age-related macular degeneration (“AMD”). OpRegen (also known as RG6501) is a suspension of human allogeneic retinal pigmented epithelial (“RPE”) cells and is currently being evaluated in a Phase 2a multicenter clinical trial in patients with GA secondary to AMD. OpRegen subretinal delivery has the potential to counteract RPE cell loss in areas of GA lesions by supporting retinal cell health and improving retinal structure and function. Under the terms of the Collaboration and License Agreement we entered into with Roche in December 2021 (the “Roche Agreement”), we received a $50.0 million upfront payment in January 2022 and are eligible to receive up to an additional $620.0 million in developmental, regulatory, and commercialization milestone payments. We also are eligible to receive tiered double-digit percentage royalties on net sales of OpRegen in the U.S. and other major markets.</w:t>
      </w:r>
    </w:p>
    <w:p>
      <w:pPr>
        <w:pStyle w:val="TextBody"/>
        <w:bidi w:val="0"/>
        <w:spacing w:before="240" w:after="283"/>
        <w:jc w:val="both"/>
        <w:rPr>
          <w:rFonts w:ascii="Times New Roman" w:hAnsi="Times New Roman"/>
          <w:sz w:val="20"/>
        </w:rPr>
      </w:pPr>
      <w:r>
        <w:rPr>
          <w:rFonts w:ascii="Times New Roman" w:hAnsi="Times New Roman"/>
          <w:color w:val="000000"/>
          <w:sz w:val="20"/>
        </w:rPr>
        <w:t>Our most advanced unpartnered product candidate is OPC1, an allogeneic oligodendrocyte progenitor cell therapy designed to improve recovery following a spinal cord injury (“SCI”). OPC1 has been tested in two clinical trials to date: a five patient Phase 1 clinical trial in acute thoracic SCI, where all subjects were followed for at least 10 years, and a 25 patient Phase 1/2a multicenter clinical trial in subacute cervical SCI, where all subjects were evaluated for at least two years. Results from both studies have been published in the Journal of Neurosurgery Spine. OPC1 clinical development has been supported in part by a $14.3 million grant from the California Institute for Regenerative Medicine (“CIRM”). In February 2024, we announced the clearance by the FDA of our Investigational New Drug (“IND”) amendment for OPC1. Pursuant to the IND amendment, we have initiated activities to open our first clinical site in the DOSED (</w:t>
      </w:r>
      <w:r>
        <w:rPr>
          <w:rFonts w:ascii="Times New Roman" w:hAnsi="Times New Roman"/>
          <w:color w:val="000000"/>
          <w:sz w:val="20"/>
          <w:u w:val="single"/>
        </w:rPr>
        <w:t>D</w:t>
      </w:r>
      <w:r>
        <w:rPr>
          <w:rFonts w:ascii="Times New Roman" w:hAnsi="Times New Roman"/>
          <w:color w:val="000000"/>
          <w:sz w:val="20"/>
        </w:rPr>
        <w:t xml:space="preserve">elivery of </w:t>
      </w:r>
      <w:r>
        <w:rPr>
          <w:rFonts w:ascii="Times New Roman" w:hAnsi="Times New Roman"/>
          <w:color w:val="000000"/>
          <w:sz w:val="20"/>
          <w:u w:val="single"/>
        </w:rPr>
        <w:t>O</w:t>
      </w:r>
      <w:r>
        <w:rPr>
          <w:rFonts w:ascii="Times New Roman" w:hAnsi="Times New Roman"/>
          <w:color w:val="000000"/>
          <w:sz w:val="20"/>
        </w:rPr>
        <w:t xml:space="preserve">ligodendrocyte Progenitor Cells for </w:t>
      </w:r>
      <w:r>
        <w:rPr>
          <w:rFonts w:ascii="Times New Roman" w:hAnsi="Times New Roman"/>
          <w:color w:val="000000"/>
          <w:sz w:val="20"/>
          <w:u w:val="single"/>
        </w:rPr>
        <w:t>S</w:t>
      </w:r>
      <w:r>
        <w:rPr>
          <w:rFonts w:ascii="Times New Roman" w:hAnsi="Times New Roman"/>
          <w:color w:val="000000"/>
          <w:sz w:val="20"/>
        </w:rPr>
        <w:t xml:space="preserve">pinal Cord Injury: </w:t>
      </w:r>
      <w:r>
        <w:rPr>
          <w:rFonts w:ascii="Times New Roman" w:hAnsi="Times New Roman"/>
          <w:color w:val="000000"/>
          <w:sz w:val="20"/>
          <w:u w:val="single"/>
        </w:rPr>
        <w:t>E</w:t>
      </w:r>
      <w:r>
        <w:rPr>
          <w:rFonts w:ascii="Times New Roman" w:hAnsi="Times New Roman"/>
          <w:color w:val="000000"/>
          <w:sz w:val="20"/>
        </w:rPr>
        <w:t xml:space="preserve">valuation of a Novel </w:t>
      </w:r>
      <w:r>
        <w:rPr>
          <w:rFonts w:ascii="Times New Roman" w:hAnsi="Times New Roman"/>
          <w:color w:val="000000"/>
          <w:sz w:val="20"/>
          <w:u w:val="single"/>
        </w:rPr>
        <w:t>D</w:t>
      </w:r>
      <w:r>
        <w:rPr>
          <w:rFonts w:ascii="Times New Roman" w:hAnsi="Times New Roman"/>
          <w:color w:val="000000"/>
          <w:sz w:val="20"/>
        </w:rPr>
        <w:t>evice) clinical study, to evaluate the safety and utility of a novel spinal cord delivery device to administer OPC1 to the spinal parenchyma in subacute and chronic SCI patients. We expect the initial clinical site opening to occur in the second quarter of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neuroscience focused pipeline of allogeneic, or “off-the-shelf”, cell therapy programs currently includes: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RG6501 (OpRegen), an allogeneic RPE cell replacement therapy currently in a Phase 2a multicenter, open-label, single arm clinical trial, being conducted by Genentech, for the treatment of GA secondary to AMD, also known as atrophic or dry AMD.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OPC1, an allogeneic oligodendrocyte progenitor cell therapy which will be evaluated in the DOSED clinical study, to test the safety and utility of a novel spinal cord delivery device in both subacute and chronic spinal cord injuries and continues to be evaluated in long-term follow-up from a Phase 1/2a multicenter clinical trial for subacute cervical spinal cord injuries.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ANP1, an allogeneic auditory neuron progenitor cell transplant currently in preclinical development for the treatment of debilitating hearing loss.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PNC1, an allogeneic photoreceptor cell transplant currently in preclinical development for the treatment of vision loss due to photoreceptor dysfunction or damage.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RND1, a novel hypoimmune induced pluripotent stem cell (“iPSC”) line being developed in collaboration with Eterna Therapeutics Inc. (“Eterna”), which will be evaluated for differentiation into cell transplant product candidates for central nervous system (“CNS”) diseases and other neurology indications.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additional undisclosed product candidates being considered for development, and we may consider others, which cover a range of therapeutic areas and unmet medical needs. Generally, these product candidates are based on the same platform technology and employ a similar guided cell differentiation and transplant approach as the product candidates detailed above, but in some cases may also include genetic modifications designed to enhance efficacy and/or safety profiles.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efforts to broaden the application of our cell therapy platform and support long-term growth include a strategic collaboration we entered into with Eterna. This reflects a portion of our corporate strategy to capitalize on our process development capabilities by combining them with cell engineering and/or editing technologies, to create novel cell therapies with potentially superior product profiles compared to currently marketed therapies, if 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seeking to create value for shareholders by developing product candidates and advancing those candidates through clinical development, we also may seek to create value from our non-core intellectual property or related technologies and capabilities, through licensing collaborations and/or other strategic transactions, such as our business development approach to our VAC dendritic cell therapy platform.</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2023 Select Business Highlights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achieved numerous strategic and operational accomplishments during 2023, including advancing our clinical programs and product development in several key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Continued execution under our collaboration with Roche and Genentech for the development of RG6501 (OpRegen) across multiple functional areas.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Submitted an IND amendment for OPC1 for the treatment of chronic and subacute spinal cord injury, which was subsequently cleared by the FDA.</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Data from our Phase 1/2a clinical study of OpRegen presented at the Association for Research in Vision and Ophthalmology (ARVO) as well as the 23</w:t>
      </w:r>
      <w:r>
        <w:rPr>
          <w:rFonts w:ascii="Times New Roman" w:hAnsi="Times New Roman"/>
          <w:color w:val="000000"/>
          <w:sz w:val="13"/>
        </w:rPr>
        <w:t>rd</w:t>
      </w:r>
      <w:r>
        <w:rPr>
          <w:color w:val="000000"/>
        </w:rPr>
        <w:t xml:space="preserve"> </w:t>
      </w:r>
      <w:r>
        <w:rPr>
          <w:rFonts w:ascii="Times New Roman" w:hAnsi="Times New Roman"/>
          <w:color w:val="000000"/>
          <w:sz w:val="20"/>
        </w:rPr>
        <w:t>EURETINA Congress and Eyecelerator meetings, demonstrating evidence of rapid improvement of outer retinal structure in OpRegen treated patients with GA secondary to AMD.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 patent exclusively licensed to us covering proprietary manufacturing and differentiation process for RPE cells issued.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Organized and hosted the 1st Annual Spinal Cord Injury Investor Symposium in partnership with the Christopher &amp; Dana Reeve Foundation with additional support from CIRM.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Added to the broad-market Russell 3000® Index.</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Entered into option and license agreement with Eterna to develop iPSC lines for potential neurology indications and initiated development activities.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Business Strategy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goal is to address unmet medical needs by developing and advancing allogeneic, or “off-the-shelf,” treatments comprised of functional cells delivered to the body. Our biological therapies are derived from the differentiation of pluripotent stem cells from established and self-renewing cell lines. We direct these pluripotent cells to become specific cell types, or combinations of cell types, and use those differentiated cells as treatments to restore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diseased or diminished functions, such as impaired vision, loss of movement, sensation, and hearing, or to increase immune response to tumors or infectious agents.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support the furtherance of our product candidates, we aim to generate or have generated in vitro and in vivo data to support human testing where such testing is warranted. In some cases, we may collaborate with strategic partners, external advisors, or consultants to support the development of our cell therapy technology.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One area of focus is our continued execution under our collaboration with Roche and Genentech across multiple functional areas, including support for the ongoing Phase 2a multicenter clinical study of RG6501 (OpRegen) in patients with GA secondary to AMD, as well as in the follow-up portion of our 24-patient Phase 1/2a multicenter clinical study of OpRegen, in patients with dry AMD.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with the clearance of our IND amendment for OPC1 by the FDA in February 2024, we expect to commence the DOSED clinical study in the second quarter of 2024, which will evaluate the safety and utility of a novel spinal cord delivery device to deliver OPC1, to the spinal parenchyma, in both subacute and chronic spinal cord injuries.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preclinical product candidates, ANP1 for hearing loss and PNC1 for vision loss due to photoreceptor dysfunction or damage, will continue to be evaluated for their scientific and commercial merit to determine the suitability of each program to advance into initial human testing.</w:t>
      </w:r>
    </w:p>
    <w:p>
      <w:pPr>
        <w:pStyle w:val="TextBody"/>
        <w:bidi w:val="0"/>
        <w:spacing w:before="240" w:after="283"/>
        <w:jc w:val="both"/>
        <w:rPr>
          <w:rFonts w:ascii="Times New Roman" w:hAnsi="Times New Roman"/>
          <w:sz w:val="20"/>
        </w:rPr>
      </w:pPr>
      <w:r>
        <w:rPr>
          <w:rFonts w:ascii="Times New Roman" w:hAnsi="Times New Roman"/>
          <w:color w:val="000000"/>
          <w:sz w:val="20"/>
        </w:rPr>
        <w:t>Our efforts to broaden the application of our cell therapy platform and support long-term growth also include a strategic collaboration with Eterna for the development of RND1</w:t>
      </w:r>
      <w:r>
        <w:rPr>
          <w:rFonts w:ascii="Times New Roman" w:hAnsi="Times New Roman"/>
          <w:i/>
          <w:color w:val="000000"/>
          <w:sz w:val="20"/>
        </w:rPr>
        <w:t xml:space="preserve">, </w:t>
      </w:r>
      <w:r>
        <w:rPr>
          <w:rFonts w:ascii="Times New Roman" w:hAnsi="Times New Roman"/>
          <w:color w:val="000000"/>
          <w:sz w:val="20"/>
        </w:rPr>
        <w:t xml:space="preserve">a novel hypoimmune iPSC line, which will be evaluated for differentiation into cell transplant product candidates for CNS diseases and other neurology indications. We believe this collaboration allows us to leverage our expertise to develop innovative cell transplant therapies by capitalizing on the convergence of directed cell differentiation and manufacturing with modern gene editing technology.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VAC2 is a clinical stage dendritic cell product candidate, which was the subject of a Phase 1 clinical trial in advanced non-small cell lung cancer conducted by our partner, Cancer Research UK. Encouraging primary and secondary endpoint results were reported in 2023. Because many different antigens could be employed as part of this allogeneic dendritic cell system, we believe that strategic alliances offer the best alternatives to advance the VAC platform moving forward.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identified, and we may seek to develop, additional product candidates based on our cell replacement approach. We may elect to conduct these activities on our own or through various collaborative arrangements. We may utilize various types of pluripotent cell lines as starting material for our product candidates. Presently, our process development and manufacturing activities, including our current good manufacturing practice (“cGMP”) production of clinical trial material, are conducted at our facility located in Jerusalem, Israel, but such work may be supplemented or complemented by our additional facility located in Carlsbad, California.</w:t>
      </w:r>
    </w:p>
    <w:p>
      <w:pPr>
        <w:pStyle w:val="TextBody"/>
        <w:bidi w:val="0"/>
        <w:spacing w:before="360" w:after="283"/>
        <w:jc w:val="both"/>
        <w:rPr>
          <w:rFonts w:ascii="Times New Roman" w:hAnsi="Times New Roman"/>
          <w:sz w:val="20"/>
        </w:rPr>
      </w:pPr>
      <w:r>
        <w:rPr>
          <w:rFonts w:ascii="Times New Roman" w:hAnsi="Times New Roman"/>
          <w:b/>
          <w:color w:val="000000"/>
          <w:sz w:val="20"/>
        </w:rPr>
        <w:t>Cell Therapy Technology Platform</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we are a leader in pluripotent, cell-based asset development based on proprietary directed differentiation protocols of cellular lineages and our cell manufacturing capabilities. Pluripotent cells, which are widely published as capable of becoming any human cell type, have potential applications in many areas of medicine with large unmet patient needs, including certain age-related degenerative diseases, degenerative conditions, or traumatic injury. We are currently in clinical development for various pluripotent cell-derived product candidates such as RPE cells, oligodendrocyte progenitor cells, and dendritic cells, and preclinical development for auditory neurons and photoreceptor cells. In addition, we are considering the differentiation of pluripotent cells into additional cell types that may have therapeutic benefits in other areas of unmet medical need.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Cellular therapies are often aimed at regenerating or replacing affected cells or tissues and therefore may have more durable, broader, or more suitable applicability than certain traditional pharmaceutical products which seek to influence a single molecular target or a group of biological pathways. Small molecules and biologic therapies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require systemic delivery into the body can have unexpected side effects that can limit their usefulness. When cell replacement is locally administered to a specific anatomical compartment, systemic side effects are usually well-tolerated. Lineage’s cell therapy approach resembles transplant medicine, as it is focused on whether transplanted cells are retained or rejected by the body and whether the transplanted cells function as expected.</w:t>
      </w:r>
    </w:p>
    <w:p>
      <w:pPr>
        <w:pStyle w:val="TextBody"/>
        <w:bidi w:val="0"/>
        <w:spacing w:before="240" w:after="283"/>
        <w:jc w:val="both"/>
        <w:rPr>
          <w:rFonts w:ascii="Times New Roman" w:hAnsi="Times New Roman"/>
          <w:sz w:val="20"/>
        </w:rPr>
      </w:pPr>
      <w:r>
        <w:rPr>
          <w:rFonts w:ascii="Times New Roman" w:hAnsi="Times New Roman"/>
          <w:color w:val="000000"/>
          <w:sz w:val="20"/>
        </w:rPr>
        <w:t>A key advantage of our approach is that it can provide us the opportunity to rapidly develop new programs without the extensive and costly steps traditionally required to develop a small molecule agonist or antagonist. Whereas small molecule product development typically requires selection and validation of a drug target, followed by screening millions of molecules (e.g., a “library” of compounds) to identify hits, followed by chemical modification guided by structure-activity relationship or “SAR” to develop a hit into a more potent lead, the process of developing a new cell therapy from pluripotent lines can be comparatively faster because the target cell type is already known to be “validated”, insofar as it is well-established in the literature as being the cell type which is dysfunctional or deficient in the patient. One of the most challenging steps in developing a new cell therapy is the establishment of a controllable and reproducible differentiation protocol which can create the quality and purity of cells needed to support clinical testing and commercial supply. This development process avoids mass screening campaigns and is typically accomplished via the combination of literature reviews and in-house experience with pluripotent cell differentiation. This approach also can facilitate pipeline expansion at a lower cost than traditional methods (</w:t>
      </w:r>
      <w:r>
        <w:rPr>
          <w:rFonts w:ascii="Times New Roman" w:hAnsi="Times New Roman"/>
          <w:b/>
          <w:color w:val="000000"/>
          <w:sz w:val="20"/>
        </w:rPr>
        <w:t>Figure 1</w:t>
      </w:r>
      <w:r>
        <w:rPr>
          <w:rFonts w:ascii="Times New Roman" w:hAnsi="Times New Roman"/>
          <w:color w:val="000000"/>
          <w:sz w:val="20"/>
        </w:rPr>
        <w:t>).</w:t>
      </w:r>
    </w:p>
    <w:p>
      <w:pPr>
        <w:pStyle w:val="TextBody"/>
        <w:bidi w:val="0"/>
        <w:jc w:val="both"/>
        <w:rPr/>
      </w:pPr>
      <w:r>
        <w:rPr/>
        <w:t> </w:t>
      </w:r>
    </w:p>
    <w:p>
      <w:pPr>
        <w:pStyle w:val="TextBody"/>
        <w:bidi w:val="0"/>
        <w:jc w:val="center"/>
        <w:rPr/>
      </w:pPr>
      <w:r>
        <w:rPr/>
        <w:drawing>
          <wp:inline distT="0" distB="0" distL="0" distR="0">
            <wp:extent cx="5486400" cy="2847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86400" cy="2847975"/>
                    </a:xfrm>
                    <a:prstGeom prst="rect">
                      <a:avLst/>
                    </a:prstGeom>
                  </pic:spPr>
                </pic:pic>
              </a:graphicData>
            </a:graphic>
          </wp:inline>
        </w:drawing>
      </w: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Figure 1. Lineage’s Internal cGMP Facility Capabilities</w:t>
      </w:r>
    </w:p>
    <w:p>
      <w:pPr>
        <w:pStyle w:val="TextBody"/>
        <w:bidi w:val="0"/>
        <w:spacing w:before="120" w:after="283"/>
        <w:jc w:val="both"/>
        <w:rPr>
          <w:rFonts w:ascii="Times New Roman" w:hAnsi="Times New Roman"/>
          <w:sz w:val="20"/>
        </w:rPr>
      </w:pPr>
      <w:r>
        <w:rPr>
          <w:rFonts w:ascii="Times New Roman" w:hAnsi="Times New Roman"/>
          <w:color w:val="000000"/>
          <w:sz w:val="20"/>
        </w:rPr>
        <w:t>In addition to our corporate headquarters located in Carlsbad, California, in late 2022, we opened a new research and development (R&amp;D) facility also located in Carlsbad. This facility expands our R&amp;D capabilities in the U.S. and may support the development of current and future allogeneic cell transplant programs. We also have a modern and innovative manufacturing facility in the Bio Park on the campus of the Hadassah University Hospital in Jerusalem, Israel. That facility includes process development laboratories and a state-of-the-art, cGMP cell manufacturing facility. It is designed and equipped to run simultaneous cGMP processes as needed, and to produce a range of cell therapy products for human use in clinical trials as well as improve scalability for larger trials or potential commercialization (</w:t>
      </w:r>
      <w:r>
        <w:rPr>
          <w:rFonts w:ascii="Times New Roman" w:hAnsi="Times New Roman"/>
          <w:b/>
          <w:color w:val="000000"/>
          <w:sz w:val="20"/>
        </w:rPr>
        <w:t>Figure 1</w:t>
      </w:r>
      <w:r>
        <w:rPr>
          <w:rFonts w:ascii="Times New Roman" w:hAnsi="Times New Roman"/>
          <w:color w:val="000000"/>
          <w:sz w:val="20"/>
        </w:rPr>
        <w:t>). Currently, all of our cGMP manufacturing processes, including cell banking and product manufacturing for our cell therapy product candidates, are conducted in this facility.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Figure 2. Neuroscience Focused Cell Therapy Pipeline</w:t>
      </w:r>
    </w:p>
    <w:p>
      <w:pPr>
        <w:pStyle w:val="TextBody"/>
        <w:bidi w:val="0"/>
        <w:jc w:val="both"/>
        <w:rPr/>
      </w:pPr>
      <w:r>
        <w:rPr/>
        <w:t> </w:t>
      </w:r>
    </w:p>
    <w:p>
      <w:pPr>
        <w:pStyle w:val="TextBody"/>
        <w:bidi w:val="0"/>
        <w:jc w:val="center"/>
        <w:rPr/>
      </w:pPr>
      <w:r>
        <w:rPr/>
        <w:drawing>
          <wp:inline distT="0" distB="0" distL="0" distR="0">
            <wp:extent cx="5943600" cy="3114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3114675"/>
                    </a:xfrm>
                    <a:prstGeom prst="rect">
                      <a:avLst/>
                    </a:prstGeom>
                  </pic:spPr>
                </pic:pic>
              </a:graphicData>
            </a:graphic>
          </wp:inline>
        </w:drawing>
      </w:r>
      <w:r>
        <w:rPr/>
        <w:t> </w:t>
      </w:r>
    </w:p>
    <w:p>
      <w:pPr>
        <w:pStyle w:val="TextBody"/>
        <w:bidi w:val="0"/>
        <w:jc w:val="both"/>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Clinical Stage Cell Transplant Programs</w:t>
      </w:r>
    </w:p>
    <w:p>
      <w:pPr>
        <w:pStyle w:val="TextBody"/>
        <w:bidi w:val="0"/>
        <w:spacing w:before="160" w:after="283"/>
        <w:jc w:val="both"/>
        <w:rPr>
          <w:rFonts w:ascii="Times New Roman" w:hAnsi="Times New Roman"/>
          <w:sz w:val="20"/>
        </w:rPr>
      </w:pPr>
      <w:r>
        <w:rPr>
          <w:rFonts w:ascii="Times New Roman" w:hAnsi="Times New Roman"/>
          <w:i/>
          <w:color w:val="000000"/>
          <w:sz w:val="20"/>
        </w:rPr>
        <w:t>RG6501 (OpRegen</w:t>
      </w:r>
      <w:r>
        <w:rPr>
          <w:rFonts w:ascii="Times New Roman" w:hAnsi="Times New Roman"/>
          <w:i/>
          <w:color w:val="000000"/>
          <w:sz w:val="13"/>
        </w:rPr>
        <w:t>®</w:t>
      </w:r>
      <w:r>
        <w:rPr>
          <w:rFonts w:ascii="Times New Roman" w:hAnsi="Times New Roman"/>
          <w:i/>
          <w:color w:val="000000"/>
          <w:sz w:val="2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OpRegen is a RPE cell therapy in Phase 2a development for the treatment of GA secondary to AMD. Following subretinal delivery, OpRegen has the potential to counteract RPE cell loss in areas of GA lesions by supporting retinal structure and function. OpRegen is being developed under a worldwide collaboration between Lineage, Roche and Genentech. See Note 14 (Commitments and Contingencies) to our consolidated financial statements included in this report for discussion on the Roche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OpRegen has been granted Fast Track Designation from the FDA, which includes an expedited regulatory path with the ability for increased interfacing with the FDA during the clinical development process.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AMD is a gradual, progressive, deterioration of the macula, the small sensitive area in the center of the retina that provides clear, high-definition central vision. It is a leading cause of vision loss in people over the age of 65 in the developed world. According to a 2022 report in JAMA Ophthalmology, 18.34 million individuals in the U.S. 40 years and older (11.64%) were living with early-stage AMD and 1.49 million (0.94%) were living with late-stage AMD in 2019. As the area of atrophy begins to include the fovea (the center of the macula), patients may lose their central vision, making facial recognition, reading, and driving difficult or impossible, and may ultimately become legally blind. The exact cause of GA secondary to AMD is unknown, but is thought to result from multiple factors, such as genetics, age, smoking history, and environmental effects. There are two clinical presentations of AMD, the dry form, and the wet, or neovascular form (growth of abnormal new blood vessels). Dry AMD typically advances slowly toward GA as RPE cells and photoreceptors become dysfunctional and deteriorate over time. RPE cells support and nourish the retina by metabolizing waste by-products and producing a number of components essential for photoreceptor health and function. If the metabolic waste products accumulate, lesions known as drusen may result. Approximately 85-90% of AMD patients suffer from the dry form of AMD, for which there are only two FDA approved therapeutic options at this time. Additionally, dry AMD may also lead to wet AMD, a condition for which there are several FDA-approved treatments administered locally to inhibit the growth of new blood vessels. Physicians often recommend a healthy diet, exercise and/or nutritional supplements for dry AMD, but nutritional supplements have shown limited efficacy in delaying the onset of more progressive disease in longer-term studies. The schematics in </w:t>
      </w:r>
      <w:r>
        <w:rPr>
          <w:rFonts w:ascii="Times New Roman" w:hAnsi="Times New Roman"/>
          <w:b/>
          <w:color w:val="000000"/>
          <w:sz w:val="20"/>
        </w:rPr>
        <w:t>Figures 3 and 4</w:t>
      </w:r>
      <w:r>
        <w:rPr>
          <w:rFonts w:ascii="Times New Roman" w:hAnsi="Times New Roman"/>
          <w:color w:val="000000"/>
          <w:sz w:val="20"/>
        </w:rPr>
        <w:t xml:space="preserve"> show a representation of the process of drusen formation and the goal of cell replacement therapy.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172" w:type="dxa"/>
        <w:jc w:val="left"/>
        <w:tblInd w:w="0" w:type="dxa"/>
        <w:tblLayout w:type="fixed"/>
        <w:tblCellMar>
          <w:top w:w="28" w:type="dxa"/>
          <w:left w:w="28" w:type="dxa"/>
          <w:bottom w:w="28" w:type="dxa"/>
          <w:right w:w="28" w:type="dxa"/>
        </w:tblCellMar>
      </w:tblPr>
      <w:tblGrid>
        <w:gridCol w:w="4481"/>
        <w:gridCol w:w="4691"/>
      </w:tblGrid>
      <w:tr>
        <w:trPr/>
        <w:tc>
          <w:tcPr>
            <w:tcW w:w="4481" w:type="dxa"/>
            <w:tcBorders/>
            <w:vAlign w:val="center"/>
          </w:tcPr>
          <w:p>
            <w:pPr>
              <w:pStyle w:val="TableContents"/>
              <w:bidi w:val="0"/>
              <w:spacing w:before="0" w:after="283"/>
              <w:jc w:val="left"/>
              <w:rPr>
                <w:sz w:val="4"/>
                <w:szCs w:val="4"/>
              </w:rPr>
            </w:pPr>
            <w:r>
              <w:rPr>
                <w:sz w:val="4"/>
                <w:szCs w:val="4"/>
              </w:rPr>
            </w:r>
          </w:p>
        </w:tc>
        <w:tc>
          <w:tcPr>
            <w:tcW w:w="4691" w:type="dxa"/>
            <w:tcBorders/>
            <w:vAlign w:val="center"/>
          </w:tcPr>
          <w:p>
            <w:pPr>
              <w:pStyle w:val="TableContents"/>
              <w:bidi w:val="0"/>
              <w:spacing w:before="0" w:after="283"/>
              <w:jc w:val="left"/>
              <w:rPr>
                <w:sz w:val="4"/>
                <w:szCs w:val="4"/>
              </w:rPr>
            </w:pPr>
            <w:r>
              <w:rPr>
                <w:sz w:val="4"/>
                <w:szCs w:val="4"/>
              </w:rPr>
            </w:r>
          </w:p>
        </w:tc>
      </w:tr>
      <w:tr>
        <w:trPr/>
        <w:tc>
          <w:tcPr>
            <w:tcW w:w="4481" w:type="dxa"/>
            <w:tcBorders/>
            <w:vAlign w:val="center"/>
          </w:tcPr>
          <w:p>
            <w:pPr>
              <w:pStyle w:val="TableContents"/>
              <w:bidi w:val="0"/>
              <w:spacing w:before="0" w:after="283"/>
              <w:jc w:val="center"/>
              <w:rPr/>
            </w:pPr>
            <w:r>
              <w:rPr/>
              <w:drawing>
                <wp:inline distT="0" distB="0" distL="0" distR="0">
                  <wp:extent cx="2743200" cy="2333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743200" cy="2333625"/>
                          </a:xfrm>
                          <a:prstGeom prst="rect">
                            <a:avLst/>
                          </a:prstGeom>
                        </pic:spPr>
                      </pic:pic>
                    </a:graphicData>
                  </a:graphic>
                </wp:inline>
              </w:drawing>
            </w:r>
            <w:r>
              <w:rPr/>
              <w:t> </w:t>
            </w:r>
          </w:p>
        </w:tc>
        <w:tc>
          <w:tcPr>
            <w:tcW w:w="4691" w:type="dxa"/>
            <w:tcBorders/>
            <w:vAlign w:val="center"/>
          </w:tcPr>
          <w:p>
            <w:pPr>
              <w:pStyle w:val="TableContents"/>
              <w:bidi w:val="0"/>
              <w:spacing w:before="0" w:after="283"/>
              <w:jc w:val="center"/>
              <w:rPr/>
            </w:pPr>
            <w:r>
              <w:rPr/>
              <w:drawing>
                <wp:inline distT="0" distB="0" distL="0" distR="0">
                  <wp:extent cx="2857500" cy="2571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857500" cy="2571750"/>
                          </a:xfrm>
                          <a:prstGeom prst="rect">
                            <a:avLst/>
                          </a:prstGeom>
                        </pic:spPr>
                      </pic:pic>
                    </a:graphicData>
                  </a:graphic>
                </wp:inline>
              </w:drawing>
            </w:r>
            <w:r>
              <w:rPr/>
              <w:t> </w:t>
            </w:r>
          </w:p>
        </w:tc>
      </w:tr>
    </w:tbl>
    <w:tbl>
      <w:tblPr>
        <w:tblW w:w="10205" w:type="dxa"/>
        <w:jc w:val="left"/>
        <w:tblInd w:w="0" w:type="dxa"/>
        <w:tblLayout w:type="fixed"/>
        <w:tblCellMar>
          <w:top w:w="28" w:type="dxa"/>
          <w:left w:w="28" w:type="dxa"/>
          <w:bottom w:w="28" w:type="dxa"/>
          <w:right w:w="28" w:type="dxa"/>
        </w:tblCellMar>
      </w:tblPr>
      <w:tblGrid>
        <w:gridCol w:w="4595"/>
        <w:gridCol w:w="5610"/>
      </w:tblGrid>
      <w:tr>
        <w:trPr/>
        <w:tc>
          <w:tcPr>
            <w:tcW w:w="4595" w:type="dxa"/>
            <w:tcBorders/>
            <w:vAlign w:val="center"/>
          </w:tcPr>
          <w:p>
            <w:pPr>
              <w:pStyle w:val="TableContents"/>
              <w:bidi w:val="0"/>
              <w:spacing w:before="0" w:after="283"/>
              <w:jc w:val="left"/>
              <w:rPr>
                <w:sz w:val="4"/>
                <w:szCs w:val="4"/>
              </w:rPr>
            </w:pPr>
            <w:r>
              <w:rPr>
                <w:sz w:val="4"/>
                <w:szCs w:val="4"/>
              </w:rPr>
            </w:r>
          </w:p>
        </w:tc>
        <w:tc>
          <w:tcPr>
            <w:tcW w:w="5610" w:type="dxa"/>
            <w:tcBorders/>
            <w:vAlign w:val="center"/>
          </w:tcPr>
          <w:p>
            <w:pPr>
              <w:pStyle w:val="TableContents"/>
              <w:bidi w:val="0"/>
              <w:spacing w:before="0" w:after="283"/>
              <w:jc w:val="left"/>
              <w:rPr>
                <w:sz w:val="4"/>
                <w:szCs w:val="4"/>
              </w:rPr>
            </w:pPr>
            <w:r>
              <w:rPr>
                <w:sz w:val="4"/>
                <w:szCs w:val="4"/>
              </w:rPr>
            </w:r>
          </w:p>
        </w:tc>
      </w:tr>
      <w:tr>
        <w:trPr/>
        <w:tc>
          <w:tcPr>
            <w:tcW w:w="45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Figure 3. Dry AMD involves the loss of retina cells, creating an area of GA, which causes impaired vision and blindness</w:t>
            </w:r>
          </w:p>
        </w:tc>
        <w:tc>
          <w:tcPr>
            <w:tcW w:w="56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Figure 4. OpRegen is an injection of RPE cells delivered to the retina, with the potential to replace lost retinal cells and/or preserve or restore vision</w:t>
            </w:r>
          </w:p>
        </w:tc>
      </w:tr>
    </w:tbl>
    <w:p>
      <w:pPr>
        <w:pStyle w:val="TextBody"/>
        <w:bidi w:val="0"/>
        <w:jc w:val="center"/>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We believe one of the most promising approaches to treat GA secondary to dry AMD is to replace the layer of damaged RPE cells with new, healthy, and functional RPE cells manufactured from a well-characterized, allogeneic cell line, transplanted to the subretinal space around the area of GA. OpRegen is a cell replacement therapy derived from our pluripotent cell technology in which our proprietary directed-differentiation methods convert pluripotent stem cells into nearly pure populations of RPE cells. Using this method, OpRegen is grown free of any animal products and consists of human RPE cells with high yield and purity that can be transplanted directly into the patient’s eye, where the patient’s own RPE cells are missing or dysfunctional. The OpRegen therapeutic approach is designed to replace damaged or lost RPE cells with the goal of slowing disease progression to preserve and/or restore visual function.</w:t>
      </w:r>
    </w:p>
    <w:p>
      <w:pPr>
        <w:pStyle w:val="TextBody"/>
        <w:bidi w:val="0"/>
        <w:spacing w:before="240" w:after="283"/>
        <w:jc w:val="both"/>
        <w:rPr>
          <w:rFonts w:ascii="Times New Roman" w:hAnsi="Times New Roman"/>
          <w:sz w:val="20"/>
        </w:rPr>
      </w:pPr>
      <w:r>
        <w:rPr>
          <w:rFonts w:ascii="Times New Roman" w:hAnsi="Times New Roman"/>
          <w:color w:val="000000"/>
          <w:sz w:val="20"/>
        </w:rPr>
        <w:t>OpRegen is intended to be an allogeneic, or “off-the-shelf,” product provided to retinal surgeons, prepared in a ready-to-use "thaw-and-inject" form for transplantation. We believe OpRegen could have a lasting benefit from a single administration, or may be administered every several years. This approach differs from other investigational agents, as well as from the two FDA-approved drugs for treatment of GA secondary to AMD, pegcetacoplan injection (SYFOVRE</w:t>
      </w:r>
      <w:r>
        <w:rPr>
          <w:rFonts w:ascii="Times New Roman" w:hAnsi="Times New Roman"/>
          <w:color w:val="000000"/>
          <w:sz w:val="13"/>
        </w:rPr>
        <w:t>®</w:t>
      </w:r>
      <w:r>
        <w:rPr>
          <w:rFonts w:ascii="Times New Roman" w:hAnsi="Times New Roman"/>
          <w:color w:val="000000"/>
          <w:sz w:val="20"/>
        </w:rPr>
        <w:t>) and avacincaptad pegol intravitreal solution (IZERVAY), and approved agents currently marketed for wet AMD, such as ranibizumab (Lucentis</w:t>
      </w:r>
      <w:r>
        <w:rPr>
          <w:rFonts w:ascii="Times New Roman" w:hAnsi="Times New Roman"/>
          <w:color w:val="000000"/>
          <w:sz w:val="13"/>
        </w:rPr>
        <w:t>®</w:t>
      </w:r>
      <w:r>
        <w:rPr>
          <w:rFonts w:ascii="Times New Roman" w:hAnsi="Times New Roman"/>
          <w:color w:val="000000"/>
          <w:sz w:val="20"/>
        </w:rPr>
        <w:t>) and aflibercept (Eylea</w:t>
      </w:r>
      <w:r>
        <w:rPr>
          <w:rFonts w:ascii="Times New Roman" w:hAnsi="Times New Roman"/>
          <w:color w:val="000000"/>
          <w:sz w:val="13"/>
        </w:rPr>
        <w:t>®</w:t>
      </w:r>
      <w:r>
        <w:rPr>
          <w:rFonts w:ascii="Times New Roman" w:hAnsi="Times New Roman"/>
          <w:color w:val="000000"/>
          <w:sz w:val="20"/>
        </w:rPr>
        <w:t>). All of these approaches require repeated, frequent (monthly or every-other-month) intravitreal injections into the eye.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 Phase 1/2a clinical trial, OpRegen has demonstrated the potential to slow, stop or reverse disease progression in GA secondary to AMD. In addition, results of imaging analyses demonstrated rapid improvement in outer retinal structure from patients enrolled in this study, suggesting that OpRegen RPE cells may provide direct support to the patients’ remaining retinal cells within atrophic areas, improvements which can be detected within the first three months following a single administration. In this open-label, single-arm, multicenter, dose-escalation trial evaluating a single administration of OpRegen, the investigational product was delivered subretinally in patients with bilateral GA. Patient enrollment completed in November 2020, with twenty-four patients recruited into four cohorts. The first three cohorts enrolled only legally blind patients with a best corrected visual acuity (BCVA) of 20/200 or worse. The fourth cohort enrolled 12 patients with impaired vision (BCVA from 20/65 to 20/250 with smaller mean areas of GA). Cohort 4 also included patients treated with a new “thaw-and-inject” formulation of OpRegen, which could be shipped directly to sites and used immediately upon thawing. The primary objective of the study was to evaluate the safety and tolerability of OpRegen as assessed by the incidence and frequency of treatment-emergent adverse events. Secondary objectives evaluated the preliminary activity of OpRegen treatment by assessing the changes in ophthalmological parameters measured by various methods of primary clinical relevance. Long-term follow-up of patients in this study is currently ongoing.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Results from the primary endpoint, the safety and tolerability at one year post OpRegen transplant suggest that OpRegen RPE cells were generally well-tolerated with an acceptable safety profile. Importantly, no unexpected ocular adverse events (AEs) were observed and those events that were observed were considered expected based on the surgical procedures involved in OpRegen administration, such as vitrectomy. Most AEs reported (Cohorts 1-3, 87%; Cohort 4, 93%) were mild in severity.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Results from imaging analyses of structural changes and visual data from this study were presented at the 2023 ARVO Annual Meeting. Preliminary evidence of outer retinal structure and visual function improvements with OpRegen was observed in patients with GA and impaired vision (Cohort 4 [n=12]) where patients had an average 7.6 letter gain in visual acuity at 12 months post OpRegen transplant in the OpRegen-treated eye. Notably, three patients in Cohort 4 (25%) had a 15 letter or greater gain in visual acuity in the OpRegen-treated eye at 12 months post OpRegen transplant. Long term vision preservation with outer retinal structure improvement observed in the OpRegen-treated eye persisted for up to 4 years following a single administration of OpRegen.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Importantly, extensive OpRegen surgical bleb coverage of areas of GA was found to be critical for optimizing patient outcomes including: demonstrated improvement in outer retinal layers, demonstrated resolution of complete RPE and outer retinal atrophy (cRORA) near borders of baseline GA and slower rates of RPE and external limiting membrane (ELM) loss. Five patients in Cohort 4 who had a surgically delivered bleb containing OpRegen that extensively covered their atrophic areas and the foveal center, experienced an average 12.8 letter gain in their OpRegen-treated eye. Signs of improvement in areas of cRORA included: greater hyperreflectivity at the level of RPE/ Bruch's membrane; less choroidal hypertransmission; reduction of retinal subsidence, and greater continuity of outer retinal layers. These findings support the view that dry AMD may not be an irreversible, degenerative condition and that some portion of diseased retinal tissue may be recoverable in atrophic end-stage disease patients.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Despite dry AMD generally being considered an irreversible and degenerative disease leading to vision loss, positive durable long-term visual benefits from OpRegen-treated eyes in the Phase 1/2 clinical study continue to suggest that OpRegen RPE cells may provide support to patients’ remaining retinal cells, including those near or within atrophic areas. Recent results at 24 months of follow-up in 10 of 12 patients treated as part of Cohort 4, where patients had better baseline vision and smaller areas of GA at baseline than earlier cohorts who were legally blind, and for which follow up data are available, have recently been analyzed. Notably, Cohort 4 patients treated with OpRegen who exhibited average visual acuity gains of +7.6 letters at 12-months post OpRegen transplant, remained above baseline at 24 months (+5.5 letters) post OpRegen transplant. BCVA gains at 12 and 24 months averaged slightly higher among the 5 patients with extensive surgical bleb coverage of their GA lesion than those with no or limited bleb coverage, and these greater BCVA gains were associated with evidence of anatomical improvement in outer retinal structure. These improvements to retinal structure can be detected within the first three months following a cell transplant and these structural and visual improvements are still observable two years following a single administration of OpRegen. Evidence of durable engraftment for OpRegen RPE cells has now extended to 4 years in one of the earliest treated patients, supporting the potential for OpRegen to be a one-time treatment. Overall, in the study (N=24), OpRegen continues to show an acceptable safety profile, which remains unchanged following inclusion of the long-term follow-up safety data.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RG6501 (OpRegen) is currently being developed under an exclusive worldwide collaboration between us and Roche and Genentech. See “—Collaborations—Roche Collaboration Agreement,” below.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November 2022, Genentech launched a Phase 2a, multicenter, open-label, single arm clinical study of RG6501 (OpRegen), with patient enrollment initiated in March 2023. The study is intended to optimize subretinal surgical delivery and evaluate the safety and activity of OpRegen in up to 60 patients with GA secondary to AMD. The primary objectives of the study are to evaluate (i) the proportion of patients with subretinal surgical delivery of OpRegen to target regions under the retina, and (ii) to evaluate the safety of subretinal surgical delivery of OpRegen as measured by the incidence and severity of procedure-related adverse events at 3 months following surgery. A key secondary objective is to evaluate the proportion of patients with qualitative improvement in retinal structure, as determined by Optical Coherence Tomography (SD-OCT) imaging, within 3 months following surgery.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OPC1</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OPC1 is an oligodendrocyte progenitor cell therapy in Phase 1/2a development for the treatment of acute SCI. SCI occurs when the spinal cord is subjected to a severe crush or contusion injury, such as that caused by a car or motorcycle accident, and typically results in severe functional impairment, including limb paralysis, aberrant pain signaling, and/or loss of bladder and sexual function. There are approximately 18,000 new spinal cord injuries annually in the U.S. (NSCIC SCI Facts and Figures at a Glance (2023)), and there are currently no FDA-approved drugs specifically for the treatment of SCI, although methylprednisolone, a corticosteroid generally used as an anti-inflammatory drug, is sometimes prescribed on an off-label basis to reduce acute inflammation in the injured spinal cord immediately after injury. Approaches to treat this complex injury may include multiple mechanisms of action, such as biologics that preserve surviving neurons and stimulate new nerve axon outgrowth, suppression of lesion cavity formation at the injury site, generation of new blood vessels to repair the ischemic damage from injury, and myelination of the demyelinated and newly formed nerve axons. A potential therapeutic target in SCI is replacement of oligodendrocytes that are selectively lost at the injury site. As the sole source of the insulating protein myelin in the brain and spinal cord, oligodendrocytes wrap around nerve axons and allow the conduction of electrical impulses throughout the CNS, as shown in </w:t>
      </w:r>
      <w:r>
        <w:rPr>
          <w:rFonts w:ascii="Times New Roman" w:hAnsi="Times New Roman"/>
          <w:b/>
          <w:color w:val="000000"/>
          <w:sz w:val="20"/>
        </w:rPr>
        <w:t>Figure 5</w:t>
      </w:r>
      <w:r>
        <w:rPr>
          <w:rFonts w:ascii="Times New Roman" w:hAnsi="Times New Roman"/>
          <w:color w:val="000000"/>
          <w:sz w:val="20"/>
        </w:rPr>
        <w: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Figure 5. Oligodendrocytes are the myelinating cells of the CNS and are critical for nerve signal conduction</w:t>
      </w:r>
    </w:p>
    <w:p>
      <w:pPr>
        <w:pStyle w:val="TextBody"/>
        <w:bidi w:val="0"/>
        <w:jc w:val="center"/>
        <w:rPr/>
      </w:pPr>
      <w:r>
        <w:rPr/>
        <w:drawing>
          <wp:inline distT="0" distB="0" distL="0" distR="0">
            <wp:extent cx="2428875" cy="2381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428875" cy="2381250"/>
                    </a:xfrm>
                    <a:prstGeom prst="rect">
                      <a:avLst/>
                    </a:prstGeom>
                  </pic:spPr>
                </pic:pic>
              </a:graphicData>
            </a:graphic>
          </wp:inline>
        </w:drawing>
      </w: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OPC1 is derived from our pluripotent cell technology under cGMP conditions using a directed differentiation method. These cells are stored frozen until ready for use and prepared for direct administration into the injured spinal cord. Based on preclinical studies, when OPC1 is transplanted into the injured spinal cord, the cells undergo further maturation to generate a replacement population of oligodendrocytes at the injury site that are capable of remyelinating denuded and newly formed nerve axons. Based on preclinical studies, prior to their maturation, the transplanted oligodendrocyte progenitor cells are believed to stimulate additional reparative processes, including promotion of neuron survival and nerve axon outgrowth, and induction of blood vessel formation in and around the injury site. In addition, OPC1 cells rapidly migrate from the injection point to the injury site where they generate a supportive tissue matrix and suppress cavitation (Figure 6). Cavitation is a destructive process that occurs within the spinal cord following SCI, and typically results in permanent loss of motor and sensory function. A patient with cavitation can develop a condition known as syringomyelia, which results in additional neurological and functional damage to the patient and can result in chronic pain. Based on the multiple reparative properties associated with OPC1, we believe this candidate cell therapy product is ideally suited to treat neurological conditions such as SCI and other demyelination disorders of the CNS.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Figure 6. Suppression of spinal cavitation in a rat contusion model</w:t>
      </w:r>
    </w:p>
    <w:p>
      <w:pPr>
        <w:pStyle w:val="TextBody"/>
        <w:bidi w:val="0"/>
        <w:jc w:val="center"/>
        <w:rPr/>
      </w:pPr>
      <w:r>
        <w:rPr/>
        <w:drawing>
          <wp:inline distT="0" distB="0" distL="0" distR="0">
            <wp:extent cx="3981450" cy="809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981450" cy="809625"/>
                    </a:xfrm>
                    <a:prstGeom prst="rect">
                      <a:avLst/>
                    </a:prstGeom>
                  </pic:spPr>
                </pic:pic>
              </a:graphicData>
            </a:graphic>
          </wp:inline>
        </w:drawing>
      </w: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development of OPC1 has been supported by a $14.3 million clinical development grant from CIRM. We have applied for additional funding from CIRM for continued clinical development of OPC1 for the treatment of SCI. See “—Grants from Government Entities,” below.</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To date, two clinical trials of OPC1 have been completed: a Phase 1 clinical safety trial in 5 patients with thoracic spinal cord injuries and a Phase 1/2a multicenter dose-escalation clinical trial in 25 patients with cervical spinal cord injuries. Results from both studies have been published in the </w:t>
      </w:r>
      <w:r>
        <w:rPr>
          <w:rFonts w:ascii="Times New Roman" w:hAnsi="Times New Roman"/>
          <w:i/>
          <w:color w:val="000000"/>
          <w:sz w:val="20"/>
        </w:rPr>
        <w:t>Journal of Neurosurgery Spine</w:t>
      </w:r>
      <w:r>
        <w:rPr>
          <w:rFonts w:ascii="Times New Roman" w:hAnsi="Times New Roman"/>
          <w:color w:val="000000"/>
          <w:sz w:val="20"/>
        </w:rPr>
        <w:t xml:space="preserve">. Key findings from these clinical studies are summarized in </w:t>
      </w:r>
      <w:r>
        <w:rPr>
          <w:rFonts w:ascii="Times New Roman" w:hAnsi="Times New Roman"/>
          <w:b/>
          <w:color w:val="000000"/>
          <w:sz w:val="20"/>
        </w:rPr>
        <w:t>Figure 7</w:t>
      </w:r>
      <w:r>
        <w:rPr>
          <w:rFonts w:ascii="Times New Roman" w:hAnsi="Times New Roman"/>
          <w:color w:val="000000"/>
          <w:sz w:val="20"/>
        </w:rPr>
        <w:t>.</w:t>
      </w:r>
    </w:p>
    <w:p>
      <w:pPr>
        <w:pStyle w:val="TextBody"/>
        <w:bidi w:val="0"/>
        <w:spacing w:before="360" w:after="283"/>
        <w:jc w:val="both"/>
        <w:rPr>
          <w:rFonts w:ascii="Times New Roman" w:hAnsi="Times New Roman"/>
          <w:sz w:val="20"/>
        </w:rPr>
      </w:pPr>
      <w:r>
        <w:rPr>
          <w:rFonts w:ascii="Times New Roman" w:hAnsi="Times New Roman"/>
          <w:b/>
          <w:color w:val="000000"/>
          <w:sz w:val="20"/>
        </w:rPr>
        <w:t>Figure 7. OPC1 Thoracic &amp; Cervical Clinical Trials Overview</w:t>
      </w:r>
      <w:r>
        <w:rPr>
          <w:rFonts w:ascii="Times New Roman" w:hAnsi="Times New Roman"/>
          <w:color w:val="000000"/>
          <w:sz w:val="20"/>
        </w:rPr>
        <w:t xml:space="preserve"> </w:t>
      </w:r>
    </w:p>
    <w:p>
      <w:pPr>
        <w:pStyle w:val="TextBody"/>
        <w:bidi w:val="0"/>
        <w:jc w:val="both"/>
        <w:rPr/>
      </w:pPr>
      <w:r>
        <w:rPr/>
        <w:t> </w:t>
      </w:r>
    </w:p>
    <w:p>
      <w:pPr>
        <w:pStyle w:val="TextBody"/>
        <w:bidi w:val="0"/>
        <w:jc w:val="center"/>
        <w:rPr/>
      </w:pPr>
      <w:r>
        <w:rPr/>
        <w:drawing>
          <wp:inline distT="0" distB="0" distL="0" distR="0">
            <wp:extent cx="5943600" cy="31527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3152775"/>
                    </a:xfrm>
                    <a:prstGeom prst="rect">
                      <a:avLst/>
                    </a:prstGeom>
                  </pic:spPr>
                </pic:pic>
              </a:graphicData>
            </a:graphic>
          </wp:inline>
        </w:drawing>
      </w:r>
      <w:r>
        <w:rPr/>
        <w:t> </w:t>
      </w:r>
    </w:p>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FDA designated OPC1 as a Regenerative Medicine Advanced Therapy (“RMAT”) for the treatment of subacute SCI. RMAT designation allows for an accelerated development pathway and includes the ability for increased interfacing with the FDA during clinical development. The FDA has also granted OPC1 Orphan Drug Designation, providing a pathway to possible market exclusivity.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2019, we transferred all cGMP manufacturing processes, including the establishment of cell banks and the OPC1 process development and manufacturing for clinical studies, to our cell therapy manufacturing facility in Jerusalem, Israel. Improvements to the manufacturing process were performed to create enhancements to the production process and scale and to achieve greater purity of OPC1. We also developed a ready-to-use thaw-and-inject formulation of OPC1 to simplify logistics and handling at the point of care and eliminate dose preparation at the clinical site. We have also manufactured clinical batches based on the improved process in a thaw and inject formulation in preparation for a larger-scale, late-stage clinical trial.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February 2021, we announced an exclusive agreement with Neurgain Technologies, Inc. (“Neurgain”), to evaluate a novel delivery system for OPC1. Preliminary assessment of prototypes revealed promising compatibility with OPC1 product while simplifying the surgical procedure by providing surgeons with an instrument that is small, simple to use, and would not require stopping the patient’s ventilator to perform the injection, allowing for flexibility with accurate delivery to the injury site. We continued to evaluate the Neurgain device throughout 2021 through 2023. </w:t>
      </w:r>
    </w:p>
    <w:p>
      <w:pPr>
        <w:pStyle w:val="TextBody"/>
        <w:bidi w:val="0"/>
        <w:spacing w:before="240" w:after="283"/>
        <w:jc w:val="both"/>
        <w:rPr>
          <w:rFonts w:ascii="Times New Roman" w:hAnsi="Times New Roman"/>
          <w:sz w:val="20"/>
        </w:rPr>
      </w:pPr>
      <w:r>
        <w:rPr>
          <w:rFonts w:ascii="Times New Roman" w:hAnsi="Times New Roman"/>
          <w:color w:val="000000"/>
          <w:sz w:val="20"/>
        </w:rPr>
        <w:t>In June 2023, we launched a newly created forum to discuss the recent innovation, advancements and challenges in the treatment of SCI: the 1st Annual Spinal Cord Injury Investor Symposium. In addition to CIRM, the sponsors and collaborators for this inaugural event included the Christopher &amp; Dana Reeve Foundation, the Sanford Stem Cell Institute at the University of California San Diego, and AbbVie. The event presented an opportunity for an open and collaborative dialogue among leading therapeutic area experts in SCI, researchers, representatives from companies working to develop various treatment approaches for SCI, persons with lived experience, caregivers, advocacy organizations, investors, healthcare analysts, and members of the public and media. We are currently in the planning stages for the 2</w:t>
      </w:r>
      <w:r>
        <w:rPr>
          <w:rFonts w:ascii="Times New Roman" w:hAnsi="Times New Roman"/>
          <w:color w:val="000000"/>
          <w:sz w:val="13"/>
        </w:rPr>
        <w:t>nd</w:t>
      </w:r>
      <w:r>
        <w:rPr>
          <w:rFonts w:ascii="Times New Roman" w:hAnsi="Times New Roman"/>
          <w:color w:val="000000"/>
          <w:sz w:val="20"/>
        </w:rPr>
        <w:t>Annual Spinal Cord Injury Investor Symposium.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2023, we submitted an IND amendment for OPC1 to enable the initiation of the DOSED clinical study to evaluate the safety and utility of the Neurgain device in both subacute and chronic spinal cord injury patients. In February 2024, we announced the FDA clearance of the IND amendment. The DOSED clinical study will be an open label, multicenter, device safety study in approximately 3-5 subacute and 3-5 stable chronic subjects with complete (ASIA Impairment Scale A) or incomplete (ASIA Impairment Scale B), traumatic, focal SCI affecting either cervical (C4-C7) or thoracic (T1-T10) vertebrae. The primary objective of this study is to evaluate the safety of a novel spinal cord delivery device, the Neurgain device, to administer OPC1 to the spinal parenchyma. The primary endpoint is safety, as measured by the frequency and severity of AEs through 30 days following OPC1 injection that are related to the injection procedure. Secondary endpoints are safety and tolerability, as measured by the frequency and severity of AEs, including AEs of special interest, through 90 days following OPC1 injection, that are related to OPC1 and/or the concomitant short-term immunosuppression. We expect initial clinical site opening for the DOSED clinical study to occur in the second quarter of 2024, following customary trial preparations.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actively working both on expanding our existing and establishing new collaborations with SCI patient engagement and advocacy organizations, with the overarching goals of enhancing awareness of SCI and elevating the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oprietary technology platform, we have developed a unique differentiation process for generating auditory neuron progenitor (“ANP”) cells. In February 2023, entered into a collaboration with the University of Michigan and Yehoash Raphael, Ph.D., The R. Jamison and Betty Williams Professor of Otolaryngology, Department of Otolaryngology-Head and Neck Surgery and Lab Director at the University of Michigan Kresge Hearing Research Institute, where preclinical testing of ANP1 has been ongoing. Initial preclinical results have been positive, with a demonstrated ability to deliver ANP cells into specific target areas utilizing standard surgical tools as well as to establish initial engraftment into certain anatomical destinations and survival after transplantation. ANP cells were confirmed to retain the expression of neuronal-specific markers post-transplantation and additionally demonstrated the ability to migrate. These results support the advancement of ANP1 into its new phase of preclinical development, the evaluation of the long-term engraftment of ANP cells and their functional assessment in hearing loss.</w:t>
      </w:r>
    </w:p>
    <w:p>
      <w:pPr>
        <w:pStyle w:val="TextBody"/>
        <w:bidi w:val="0"/>
        <w:spacing w:before="360" w:after="283"/>
        <w:jc w:val="both"/>
        <w:rPr>
          <w:rFonts w:ascii="Times New Roman" w:hAnsi="Times New Roman"/>
          <w:sz w:val="20"/>
        </w:rPr>
      </w:pPr>
      <w:r>
        <w:rPr>
          <w:rFonts w:ascii="Times New Roman" w:hAnsi="Times New Roman"/>
          <w:i/>
          <w:color w:val="000000"/>
          <w:sz w:val="20"/>
        </w:rPr>
        <w:t>Photoreceptors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photoreceptor program, PNC1, is focused on a process of directing the differentiation of human pluripotent cells into clinical-grade transplantable photoreceptor precursors/cells and to show their further differentiation, integration, and function after transplantation into the subretinal space of animal models of photoreceptor degeneration. Photoreceptor degeneration is the hallmark of a variety of retinal diseases such as retinitis pigmentosa (“RP”). Currently, the only approved treatments for RP are gene therapies which treat specific genetic defects that lead to RP. Our PNC1 program is aimed to replace damaged photoreceptors regardless of the cause of degeneration.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Research Development Programs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RND1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RND1 is a novel hypoimmune iPSC cell line being developed in collaboration with Eterna, which we intend to evaluate for differentiation into cell transplant product candidates for CNS diseases and other neurology indications.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February 2023, we entered into an option and license agreement with Eterna to develop engineered hypoimmune iPSC lines that we will evaluate for differentiation into cell transplant product candidates for CNS diseases and other neurology indications. We believe this collaboration allows us to leverage our expertise to develop innovative cell transplant therapies by capitalizing on the convergence of directed cell differentiation and manufacturing with modern gene editing technology. This is reflective of a portion of our corporate strategy which aims to capitalize on our process development capabilities by combining them with cell engineering and editing technologies to create novel cell therapies with potentially superior product profiles compared to currently marketed therapies, if 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September 2023, we announced the initiation of certain development activities to generate a novel iPSC line under our agreement with Eterna and our selection of specific gene edits for the initial cell line to be developed by Eterna. The edits include: the targeted deletion of the B2M gene, designed to reduce the immunogenicity of product candidates derived from the lines by inhibiting rejection by CD8+ T cells; the targeted insertion of the HLA-E gene, designed to overexpress HLA-E and prevent the allogeneic NK cell response; and a third undisclosed edit intended to confer clinical differentiation and a competitive advantage in the applicable indications. We expect that these edits may expand the edited cell lines’ overall utility, including for non-immune privileged or non-human leukocyte antigen ("HLA") matched indications and may further differentiate the cell line from others currently in use by competitors.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Business Development Opportunities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VAC Platform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VAC is our immuno-oncology platform using dendritic cells loaded with antigens for the treatment of cancer. As the most potent type of antigen-presenting cell in the body, dendritic cells instruct the human body’s immune system to attack and eliminate harmful pathogens and unwanted cells, including cancer cells.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VAC2 is an allogeneic, or non-patient specific, cancer vaccine candidate designed to stimulate patient immune responses to an antigen, human telomerase reverse transcriptase ("hTERT"), which is commonly expressed in cancerous cells but is not usually found in normal adult cells. VAC2 is produced by our pluripotent cell technology using a directed differentiation method and is comprised of a population of mature dendritic cells to which the hTERT antigen was introduced via an mRNA construct which is loaded into the dendritic cell via electroporation. The VAC1 autologous program, which preceded VAC2 but relied on the same antigen, served as proof of concept behind our approach to utilize dendritic cell vaccines targeting telomerase to treat cancer.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as an allogeneic therapy, VAC has the potential to stimulate a more robust immune response through an adjuvant effect resulting from the partial immune mismatch between the VAC cells and patients receiving the therapy. We believe that VAC can be used as a platform technology that can be modified to carry a diverse number or type of antigen, including patient-specific tumor neo-antigens.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September 2014, Asterias Biotherapeutics, Inc. ("Asterias") initiated clinical development of VAC2 by entering into a Clinical Trial and Option Agreement (the “CRUK Agreement”) with Cancer Research UK (“CRUK”) and Cancer Research Technology Limited (“CRT”), a wholly owned subsidiary of CRUK, under which CRUK agreed to fund Phase 1 clinical development of VAC2 in non-small cell lung cancer ("NSCLC"). CRUK was responsible, at its own cost, for manufacturing clinical grade VAC2 and for carrying out the Phase 1 clinical trial of VAC2. In April 2022, we announced that CRUK had completed patient enrollment in the ongoing Phase 1 clinical trial of VAC2 for the treatment of NSCLC. In July 2023, we announced encouraging primary and secondary endpoint results from this study: five of eight patients treated had a best response of immune-related stable disease, and three demonstrated immune-related progressive disease; no patients had treatment emergent serious adverse events and all patients completed per protocol vaccination; and three of eight treated patients reached the 2-year survival endpoint. Further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analyses from immunogenicity of VAC2 in the tumor, skin punch biopsies, and peripheral responses are currently being conducted by CRUK.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April 2021, Lineage entered into a worldwide license and development collaboration agreement with Immunomic Therapeutics, Inc. ("ITI"). See “—Collaborations—ITI Collaboration Agreement,” below. ITI is currently evaluating its next step under the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many different antigens could be employed as part of this allogeneic dendritic cell system, we believe that strategic collaborations offer the best alternatives to advance the VAC platform moving forward and we continue to be engaged in exploratory discussions for the development of various VAC assets. We intend to continue monitoring the neoantigen vaccine landscape to help inform our corporate strategy and determine the best development path for VAC2 or any other VAC platform programs.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Collaborations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accelerate the discovery and advancement of transplanting specific cell types into the body, we have entered into, and intend to seek additional opportunities to form, collaborations with a diverse group of strategic partners. We have entered into collaborations with pharmaceutical and biotechnology companies, government agencies, academic laboratories, and research institutes with resources and expertise in diverse areas in an effort to advance our discovery and development platforms and will continue to evaluate such collaborations.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One key principle of our approach to collaborations is to share rewards and risks of conducting large-scale clinical trials and commercializing a product, but also to provide the broadest patient population with the earliest access to our therapies.</w:t>
      </w:r>
    </w:p>
    <w:p>
      <w:pPr>
        <w:pStyle w:val="TextBody"/>
        <w:bidi w:val="0"/>
        <w:spacing w:before="360" w:after="283"/>
        <w:jc w:val="both"/>
        <w:rPr>
          <w:rFonts w:ascii="Times New Roman" w:hAnsi="Times New Roman"/>
          <w:sz w:val="20"/>
        </w:rPr>
      </w:pPr>
      <w:r>
        <w:rPr>
          <w:rFonts w:ascii="Times New Roman" w:hAnsi="Times New Roman"/>
          <w:i/>
          <w:color w:val="000000"/>
          <w:sz w:val="20"/>
        </w:rPr>
        <w:t>Roche Collaboration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17, 2021, Lineage entered into the Roche Agreement, pursuant to which Lineage granted to Roche exclusive worldwide rights to develop and commercialize RPE cell therapies, including its proprietary cell therapy known as OpRegen, for the treatment of ocular disorders, including advanced dry AMD with GA.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terms of the Roche Agreement, Roche assumed responsibility for further clinical development and commercialization of OpRegen and Lineage is responsible for completing activities related to the ongoing clinical study Phase 1/2a open-label, dose-escalation clinical safety and efficacy study in patients with advanced dry AMD with GA, for which enrollment is complete, and performing certain manufacturing and process development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Roche paid Lineage a $50.0 million upfront payment (which was received in January 2022) and Lineage is eligible to receive up to an additional $620.0 million in developmental, regulatory and commercialization milestone payments. Lineage is also eligible for tiered double-digit percentage royalties on net sales of OpRegen. All milestone payments, and royalty payments, due under the Roche Agreement are subject to the existence of certain intellectual property rights that cover OpRegen at the time such payments would otherwise become due, and the royalties on net sales of OpRegen are subject to financial offsets based on the existence of competing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earlier terminated by either party, the Roche Agreement will expire on a product-by-product and country-by-country basis upon the expiration of all of Roche’s payment obligations under the Roche Agreement. Roche may terminate the Roche Agreement in its entirety, or on a product-by-product or country-by-country basis, at any time with advanced written notice. Either party may terminate the Roche Agreement in its entirety with written notice for the other party’s material breach if such party fails to cure the breach. Either party also may terminate the Roche Agreement in its entirety upon certain insolvency events involving the other party.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Lineage is obligated to pay to the IIA (as defined below) approximately 24.1% of the upfront payment and of any future payments Lineage receives under the Roche Agreement, up to an aggregate cap on all payments to IIA, such cap growing over time via interest accrual until paid in full. As of December 31, 2023, the aggregate cap amount was $93.2 million. In addition, pursuant to the Second Amended and Restated License Agreement, dated June 15, 2017, between our foreign subsidiary located in Jerusalem, Israel, Cell Cure Neurosciences Ltd. (“Cell Cure”),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Hadasit Medical Research and Development Ltd. (“Hadasit”), as amended, and a letter agreement entered into between Cell Cure and Hadasit on December 17, 2021, Cell Cure is obligated to pay to Hadasit (i) a maximum of 21.5% of the upfront payment (subject to certain reductions) and of any milestone payments Lineage receives from Roche under the Roche Agreement, and (ii) up to 50% of all royalty payments (subject to a maximum payment of 5% of net sales of products) Lineage receives from Roche under the Roche Agreement. In accordance with the foregoing obligations, from the $50.0 million upfront payment Lineage received from Roche in January 2022, Lineage paid $12.1 million to the IIA and $8.9 million to Hadasit. See “—Grants from Government Entities,” below, and Note 14 (Commitments and Contingencies) to our consolidated financial statements included in this report for additional information related to our obligations to the IIA and Hadasit.</w:t>
      </w:r>
    </w:p>
    <w:p>
      <w:pPr>
        <w:pStyle w:val="TextBody"/>
        <w:bidi w:val="0"/>
        <w:spacing w:before="360" w:after="283"/>
        <w:jc w:val="both"/>
        <w:rPr>
          <w:rFonts w:ascii="Times New Roman" w:hAnsi="Times New Roman"/>
          <w:sz w:val="20"/>
        </w:rPr>
      </w:pPr>
      <w:r>
        <w:rPr>
          <w:rFonts w:ascii="Times New Roman" w:hAnsi="Times New Roman"/>
          <w:i/>
          <w:color w:val="000000"/>
          <w:sz w:val="20"/>
        </w:rPr>
        <w:t>ITI Collaboration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16, 2021, Lineage entered a worldwide license and development collaboration with ITI (the “ITI Agreement”). Lineage is the sole and exclusive owner of the rights to the VAC platform and has licensed to ITI patents and materials for the development and commercialization of a novel cancer immunotherapy agent derived from this platform utilizing an antigen provided by ITI.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terms of the ITI Agreement, Lineage is entitled to initial fees totaling up to $2.0 million, $1.0 million of which we received in 2021, and up to an additional $67.0 million in development and commercial milestones across multiple indications. Lineage will also be eligible to receive royalties of up to 10% on net sales of future products. ITI has received a research and development grade of the VAC-CMV product candidate and is evaluating its next steps. </w:t>
      </w:r>
    </w:p>
    <w:p>
      <w:pPr>
        <w:pStyle w:val="TextBody"/>
        <w:bidi w:val="0"/>
        <w:spacing w:before="360" w:after="283"/>
        <w:jc w:val="both"/>
        <w:rPr>
          <w:rFonts w:ascii="Times New Roman" w:hAnsi="Times New Roman"/>
          <w:sz w:val="20"/>
        </w:rPr>
      </w:pPr>
      <w:r>
        <w:rPr>
          <w:rFonts w:ascii="Times New Roman" w:hAnsi="Times New Roman"/>
          <w:b/>
          <w:color w:val="000000"/>
          <w:sz w:val="20"/>
        </w:rPr>
        <w:t>Grants from Government Entities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Grants from the Israeli Innovation Authority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Israeli Encouragement of Research, Development and Industrial Initiative Technology Law, 5744-1984, as amended, and related regulations (collectively, the “Innovation Law”), research and development programs which meet specified criteria and are approved by the Israel Innovation Authority (the “IIA”) are eligible for grants of up to 50% of the project’s expenditure, as determined by the research committee, in exchange for the payment of royalties from the revenues generated from the sale of product candidates and related services developed, in whole or in part pursuant to, or as a result of, a research and development program funded by the IIA. The royalties are generally at a range of 3.0% to 5.0% of revenues until the entire IIA grant is repaid, together with an annual interest generally tied to an interest rate index.</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Innovation Law, the manufacture of product candidates developed with government grants is required to be performed in Israel. The transfer of manufacturing activity outside Israel may be subject to the prior approval of the IIA, and if approved, may increase the royalties payable to the IIA, in certain cases substantially. The amount of the increase in the royalties payable depends on the percentage of manufacturing activity that occurs outside Israel.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know-how developed within the framework of the Innovation Law plan may not be transferred to third parties outside Israel without the prior approval of a governmental committee chartered under the Innovation Law. The IIA approval to transfer know-how created, in whole or in part, in connection with an IIA-funded project to a third party outside Israel where the transferring company remains an operating Israeli entity is subject to payment of a redemption fee to the IIA calculated according to a formula provided under the Innovation Law that is based, in general, on the ratio between the aggregate IIA grants to the company’s aggregate investments in the project that was funded by these IIA grants, multiplied by the transaction consideration. The transfer of such know-how to a party outside Israel where the transferring company ceases to exist as an Israeli entity is subject to a redemption fee. The redemption fee in case of transfer of know-how to a party outside Israel is generally based on the ratio between the aggregate IIA grants received by the transferring company and the transferring company’s aggregate research and development expenses, multiplied by the transaction consideration. The maximum amount payable to the IIA in case of transfer of know-how outside Israel will not exceed six times the value of the grants received plus interest. In the event that the grant recipient ceases to be an Israeli corporation such payment shall not exceed six times the value of the grants received plus interest, with a possibility to reduce such payment to up to three times the value of the grants received plus interest if the research and development activity remains in Israel for a period of three years after payment to the IIA.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restrictions under the Innovation Law, including restrictions on the sale, transfer or licensing to a non-Israeli entity of know-how developed as part of the programs under which the grants were given, continue to apply even after the repayment of royalties in full by the grant recipient.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Part of Cell Cure’s research and development efforts have been financed, partially, through grants that it has received from the IIA and when we acquired our holdings in Cell Cure, we undertook in writing, vis-à-vis the IIA, to comply with, and to ensure the compliance by Cell Cure with, the Innovation Law. We therefore must comply with the requirements of the Innovation Law and related regulations. To date, through a series of separate grants beginning in 2007, Cell Cure received a total of $15.4 million from the IIA to support the OpRegen program. See Note 14 (Commitments and Contingencies) to our consolidated financial statements included in this report for additional information.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Grants from the California Institute for Regenerative Medicine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development of OPC1 has been supported by $14.3 million of funding from CIRM, a state agency established to fund stem cell research and development of new stem cell-based treatments. The terms of our grant award from CIRM require royalty payments to the California State General Fund based on net commercial revenue from the sale of any product, drug or service arising from CIRM-funded research as follows: 0.1% per $1.0 million of funds granted for the earlier of 10 years or nine times the award amount that has been paid. In addition, a 1% royalty will be owed on net commercial revenue in excess of $500 million per year until the last to expire patent covering a CIRM-funded invention, if any, contributed towards the commercialization of the product.</w:t>
      </w:r>
    </w:p>
    <w:p>
      <w:pPr>
        <w:pStyle w:val="TextBody"/>
        <w:bidi w:val="0"/>
        <w:spacing w:before="12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February 2024, following FDA clearance of our IND amendment for OPC1, we applied for clinical program (CLIN2) funding from CIRM to support the DOSED clinical study. Subsequently, in February 2024, CIRM's governing board determined to postpone acceptance of CLIN1 and CLIN2 applications submitted after January 31, 2024, in response to an unprecedented influx of applications and resulting review and budgetary issues. CIRM disclosed that the amount of funds requested by all then-currently submitted clinical stage applications exceeded the amount of funds available in its 2023/2024 fiscal year budget and based on the historical success rate of 50 to 60 percent, then-currently submitted applications have the potential to deplete its remaining fiscal year budget. According to CIRM, the postponement of its acceptance of applications and CIRM's progress towards addressing its review and budgetary issues will be re-evaluated at the June 2024 meeting of its governing board, which currently is scheduled for June 27, 2024.</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elect to enter into collaborations for additional product candidates currently in development and which cover a range of therapeutic areas. Generally, these product candidates are based on the same pluripotent platform technology and would employ a similar guided cell differentiation and transplant approach as our current clinical-stage products.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seek to protect and rely on our proprietary cell-based therapy platform technologies and associated development and manufacturing capabilities and derived product candidates with intellectual property through a variety of methods, including seeking and maintaining patents intended to cover our products and compositions, their methods of use and processes for their manufacture, our platform technologies and any other inventions that are commercially important to the development of our business. We also rely on contractual obligations with employees and third parties to protect our proprietary rights. For example, in addition to protecting our proprietary rights with patents, we rely on other intellectual property such as unpatented trade secrets, improvements, know-how and innovation, and we take steps necessary to protect these rights, including through confidentiality agreements with our corporate partners, employees, consultants and vendors. We have sought, and intend to continue to seek, appropriate patent protection for important and strategic components of our proprietary technologies by filing patent applications in the United States and internationally. We may also file additional patent applications, when appropriate, to cover improvements on our manufacturing processes, clinical products, clinical product candidates, and related technologies. There are no assurances that any of our intellectual property rights will guarantee complete or adequate protection or market exclusivity for our products and product candidates. We also enter into collaborative and other similar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contractual arrangements with third parties, such as license agreements, to in-license and/or out-license intellectual property rights. Our financial success will be dependent, in part, on our ability to obtain rights to commercially valuable patents and other intellectual property, to protect and enforce our intellectual property rights and to operate without knowingly infringing any intellectual property rights of others. From time to time, we assess our patents and pending applications covering our products and product candidates. If we determine that any patents or patent applications no longer provide adequate or necessary protection, we may transfer or abandon such patents and patent applications to avoid incurring unnecessary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own or license, directly or through our subsidiaries, patent families that include several hundred U.S. and international patents and patent applications. We cannot be certain that issued patents will be enforceable or provide adequate protection or that pending applications will result in issued patents.</w:t>
      </w:r>
    </w:p>
    <w:p>
      <w:pPr>
        <w:pStyle w:val="TextBody"/>
        <w:bidi w:val="0"/>
        <w:spacing w:before="360" w:after="283"/>
        <w:jc w:val="both"/>
        <w:rPr>
          <w:rFonts w:ascii="Times New Roman" w:hAnsi="Times New Roman"/>
          <w:sz w:val="20"/>
        </w:rPr>
      </w:pPr>
      <w:r>
        <w:rPr>
          <w:rFonts w:ascii="Times New Roman" w:hAnsi="Times New Roman"/>
          <w:i/>
          <w:color w:val="000000"/>
          <w:sz w:val="20"/>
        </w:rPr>
        <w:t>OpRegen</w:t>
      </w:r>
      <w:r>
        <w:rPr>
          <w:rFonts w:ascii="Times New Roman" w:hAnsi="Times New Roman"/>
          <w:i/>
          <w:color w:val="000000"/>
          <w:sz w:val="13"/>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rights to issued U.S. and international patents and pending patent applications relating to OpRegen. The issued patents have expiration dates ranging from 2028 to 2038. The pending applications, if issued, will have estimated patent expiration dates ranging from 2028 to 2042. These U.S. and international issued patents and pending applications also include those in-licensed from Hadasit, a wholly owned subsidiary of Hadassah Medical Organization. We also solely own pending U.S. and international patent applications relating to a cryopreserved thaw-and-inject formulation. These pending U.S. patent applications, and pending international patent applications, if issued, will have estimated patent expiration dates in 2038. Pursuant to the Roche Agreement, we have licensed these patent rights to Roche to further develop and commercialize RPE cell therapies, including OpRegen (see “—Collaborations—Roche Collaboration Agreement” above).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OPC1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numerous U.S. and international issued patents and pending patent applications that are relevant to neural cells, such as oligodendrocyte progenitor cells, including patent families acquired from Geron Corporation (“Geron”) that are directed to the differentiation of pluripotent stem cells, including human embryonic stem (“hES”) cells, into various neural cell types, as well as various culture and purification methods. We have seven patent families owned by us directed to improved methods of producing oligodendrocyte progenitor cells, oligodendrocyte progenitor cell compositions, and methods of treatment of spinal cord injury using oligodendrocyte progenitor cells. These patent families include three U.S. patents directed to methods for producing oligodendrocyte progenitor cells, composition of oligogendrocyte progenitor cells and methods of treatment of spinal cord injury using oligodendrocyte progenitor cells. The estimated patent expiration dates of these seven patent families owned by us range from 2036 to 2043. The commercial success of OPC1 depends, in part, upon our ability to exclude competition for this product with the existing patent portfolio, regulatory exclusivity, undisclosed know-how and/or trade secrets, or a combination of these barriers to entry.</w:t>
      </w:r>
    </w:p>
    <w:p>
      <w:pPr>
        <w:pStyle w:val="TextBody"/>
        <w:bidi w:val="0"/>
        <w:spacing w:before="360" w:after="283"/>
        <w:jc w:val="both"/>
        <w:rPr>
          <w:rFonts w:ascii="Times New Roman" w:hAnsi="Times New Roman"/>
          <w:sz w:val="20"/>
        </w:rPr>
      </w:pPr>
      <w:r>
        <w:rPr>
          <w:rFonts w:ascii="Times New Roman" w:hAnsi="Times New Roman"/>
          <w:i/>
          <w:color w:val="000000"/>
          <w:sz w:val="20"/>
        </w:rPr>
        <w:t>Auditory Neurons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two pending patent applications for our ANP1 program, a pending U.S. provisional patent application and a pending PCT patent application. It is anticipated that the pending provisional patent application will be converted to a PCT patent application in 2024. It is anticipated that the pending PCT patent application will be converted to a U.S. utility patent application and one or more international patent applications in 2025 and, if issued, would have estimated patent expiration dates in 2043.</w:t>
      </w:r>
    </w:p>
    <w:p>
      <w:pPr>
        <w:pStyle w:val="TextBody"/>
        <w:bidi w:val="0"/>
        <w:spacing w:before="360" w:after="283"/>
        <w:jc w:val="both"/>
        <w:rPr>
          <w:rFonts w:ascii="Times New Roman" w:hAnsi="Times New Roman"/>
          <w:sz w:val="20"/>
        </w:rPr>
      </w:pPr>
      <w:r>
        <w:rPr>
          <w:rFonts w:ascii="Times New Roman" w:hAnsi="Times New Roman"/>
          <w:i/>
          <w:color w:val="000000"/>
          <w:sz w:val="20"/>
        </w:rPr>
        <w:t>Photoreceptors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rights to three patent families for our PNC1 program. These patent families include issued U.S. and international patents and pending patent applications. One of these patent families is owned by us and includes U.S. and international pending patent applications and issued patents with estimated patent expiration dates in 2036. One of these patent families is owned by Hadasit and licensed to us and includes U.S. and international pending patent applications with estimated patent expiration dates in 2038 (the “Hadasit-Owned Patent Families”). We also have a pending PCT patent application jointly owned by us and Hadasit resulting from the collaborative efforts of Hadasit and Cell Cure pursuant to the photoreceptor development program under the Second Amended and Restated License Agreement between Hadasit and Cell Cure. It is anticipated that this jointly owned PCT patent application will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converted to a U.S. utility patent application and one or more international patent applications in 2024 and, if issued, would have estimated patent expiration dates in 2043. The photoreceptor development program will be removed from the scope of that license agreement effective April 19, 2024, such that the pending PCT patent application will be jointly owned by us and Hadasit, and our rights to the Hadasit-Owned Patent Families shall cease. </w:t>
      </w:r>
    </w:p>
    <w:p>
      <w:pPr>
        <w:pStyle w:val="TextBody"/>
        <w:bidi w:val="0"/>
        <w:spacing w:before="360" w:after="283"/>
        <w:jc w:val="both"/>
        <w:rPr>
          <w:rFonts w:ascii="Times New Roman" w:hAnsi="Times New Roman"/>
          <w:sz w:val="20"/>
        </w:rPr>
      </w:pPr>
      <w:r>
        <w:rPr>
          <w:rFonts w:ascii="Times New Roman" w:hAnsi="Times New Roman"/>
          <w:i/>
          <w:color w:val="000000"/>
          <w:sz w:val="20"/>
        </w:rPr>
        <w:t>VAC Platform</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numerous U.S. and international issued patents and pending patent applications that are relevant to dendritic cells, directed to the differentiation of pluripotent stem cells, including hES cells, into hematopoietic progenitor cells and immature and mature dendritic cells. These patent rights include a patent family with claims directed to immunogenic compositions comprising antigen-presenting dendritic cells and methods of eliciting an anti-telomerase immune response in a subject by administering to the subject such compositions with estimated patent expiration dates, if issued in 2041. We also solely own a pending PCT patent application relating to VAC processes. It is anticipated that this pending PCT patent application will be converted to a U.S. patent application and one or more international patent applications in 2025 and if issued, would have estimated patent expiration dates in 2043.</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General Risks Related to Obtaining and Enforcing Patent Protection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patent applications are confidential until a patent application is published or a patent is issued, we may not know if our competitors have filed patent applications for technology covered by our pending applications or if we were the first to invent or first to file an application directed toward the technology that is the subject of our patent applications. Competitors may have filed patent applications or received patents and may obtain additional patents and proprietary rights that block or compete with our products. In addition, if competitors file patent applications covering our technology, we may have to participate in interference/derivation proceedings or litigation to determine the right to a patent. Litigation and interference/derivation proceedings are unpredictable and expensive, such that, even if we are ultimately successful, our results of operations may be adversely affected by such events. Accordingly, there is a risk that any patent applications that we file and any patents that we hold or later obtain could be challenged by third parties and be declared invalid in view of third-party patent applications and/or patents. Litigation, interferences, oppositions, inter partes’ reviews or other proceedings are, have been and may in the future be necessary in some instances to determine the validity and scope of certain of our proprietary rights, and in other instances to determine the validity, scope or non-infringement of certain patent rights claimed by third parties to be pertinent to the manufacture, use or sale of our products. We may also face challenges to our patent and regulatory protections covering our products by third parties, including manufacturers of generics and biosimilars that may choose to launch or attempt to launch their products before the expiration of our patent or regulatory exclusivity. Litigation, interference, oppositions, inter partes’ reviews, administrative challenges or other similar types of proceedings are unpredictable and may be protracted, expensive and distracting to management. The outcome of such proceedings could adversely affect the validity and scope of our patent or other proprietary rights, hinder our ability to manufacture and market our products, require us to seek a license for the infringed product or technology or result in the assessment of significant monetary damages against us that may exceed any amounts that we may accrue on our financial statements as a reserve for contingent liabilities. An adverse determination in a judicial or administrative proceeding or a failure to obtain necessary licenses could prevent us from manufacturing or selling our products. Furthermore, payments under any licenses that we are able to obtain would reduce our profits derived from the covered products and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enforcement of patent rights often requires litigation against third-party infringers, and such litigation can be costly to pursue. Even if we succeed in having new patents issued or in defending any challenge to issued patents, there is no assurance that our patents will be comprehensive enough to provide us with meaningful patent protection against our competitors.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2023, we had 75 employees, of which 23 were employed by Lineage and 52 were employed by Cell Cure and work in Israel. Of the 75 employees, 68 were employed on a full-time basis and seven were employed on a part-time basis. Nine employees hold Ph.D. degrees in one or more fields of science or doctorates in medicine. None of our employees are covered by a collective bargaining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Manufacturing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of pluripotent-derived products is complex and requires the use of innovative technologies to handle living cells. Manufacturing these products requires facilities specifically designed for and validated for this purpose and specific quality assurance and quality control procedures are necessary. Currently, all of our cGMP manufacturing processes, including cell banking and product manufacturing for our cell therapy product candidates, are conducted at our facility in Jerusalem, Israel. The facility, which includes process development laboratories and a cGMP manufacturing facility, is designed and equipped to enable simultaneous cGMP processes and to produce a range of cell therapy products for human use in clinical trials as well as at a scale suitable for commercial launch.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process development and manufacturing are designed to address the complexity of manufacturing cell-based therapies with a specific focus on the reproducibility and scale of the manufacturing process. To this end each of our manufacturing processes contains predefined steps that are controlled by a specific set of control tests that allow us to follow up the progression of production according to the manufacturing plan. We implement a variety of 2-dimensional and 3-dimensional culture conditions to address the specific requirements of our pre-defined differentiation processes of the pluripotent cell into a functional cell product.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obtain key components required for the manufacture of our cell therapy product candidates from third-party manufacturers and suppliers, which include, in some instances, sole source manufacturers and suppliers. We do not currently have long-term commitments or supply agreements in place to obtain certain key components used in the manufacture of our cell therapy product candidates.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Licensed Technology and Product Development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Lineage has obtained the right to use various technologies that we believe have great potential in our product development efforts, and that may be useful to other companies that are engaged in the research and development of products for human therapeutic and diagnostic use.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Second Amended and Restated License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June 2017, Cell Cure entered into a Second Amended and Restated License Agreement (the “Hadasit License Agreement”) with Hadasit, pursuant to which Hadasit granted Cell Cure an exclusive, worldwide, royalty bearing license (with the right to grant sublicenses) in its intellectual property portfolio of materials and technology related to human stem cell derived (i) photoreceptor cells and (ii) retinal pigment epithelial cells (collectively, the “Licensed IP”), to use, commercialize and exploit any part thereof, in any manner whatsoever in the fields of the development and exploitation of (i) human stem cell derived photoreceptor cells, solely for use in cell therapy for the diagnosis, amelioration, prevention and treatment of eye disorders (the "Photoreceptor Field"), and (ii) human stem cell derived retinal pigment epithelial cells, solely for use in cell therapy for the diagnosis, amelioration, prevention and treatment of eye disorders. The development and exploitation of human stem cell derived photoreceptor cells (“PR Development Program”) is governed by a Research Agreement (“PR Research Agreement”) made part of and attached to the Hadasit License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consideration for the Licensed IP, Cell Cure paid a one time lump sum payment and will pay a royalty in the low single digits of net sales from sales of Licensed IP by any invoicing entity, and a low double digit percent of sublicensing receipts. In addition, Cell Cure pays Hadasit an annual minimal non-refundable royalty.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Cell Cure further agreed to pay Hadasit non-refundable milestone payments upon the recruitment of the first patient for the first Phase IIB clinical trial, upon the enrollment of the first patient in the first Phase III clinical trials, upon delivery of the report for the first Phase III clinical trials, upon the receipt of an NDA or marketing approval in the European Union, whichever is the first to occur, and upon the first commercial sale in the United States or European Union, whichever is the first to occur.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Hadasit License Agreement was amended on November 30, 2017 (“First Amendment”) to update the original list of patent applications and issued patents for Licensed IP, and provide for reimbursement of certain costs associated with a patent not originally listed in the Hadasit License Agreement to Cell Cure. The Hadasit License Agreement was amended on December 1, 2019 to replace PR Research Agreement with a new PR Research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Agreement (“New PR Research Agreement”) which included provisions with respect to the ownership of research results and intellectual property. The Hadasit License Agreement was further amended on December 17, 2021 by a letter agreement pursuant to which Cell Cure is obligated to pay a maximum of 21.5% of any milestone payments Lineage receives under the Roche Agreement (subject to certain reductions, including for costs related to Lineage’s performance obligations under the Roche Agreement) and up to 50% of all royalty payments (subject to a maximum payment of 5% of net sales of products), Lineage receives under the Roche Agreement. Lineage notified Hadasit on January 20, 2024, of its intent to remove the Photoreceptor Field from the scope of the Hadasit License Agreement, effective April 19,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Hadasit License Agreement terminates upon the expiration of Cell Cure’s obligation to pay royalties for all licensed products, unless earlier terminated. In addition, the Hadasit License Agreement may be terminated by (i) Hadasit if, among other reasons, Cell Cure fails to continue the clinical development of the Licensed IP or fails to take actions to commercialize or sell the Licensed IP over any consecutive 12 month period, and (ii) by either party for (a) a material breach which remains uncured following a cure period, or (b) the granting of a winding-up order in respect of the other party, or upon an order being granted against the other party for the appointment of a receiver or a liquidator in respect of a substantial portion of such other party’s assets. The Hadasit License Agreement also contains mutual confidentiality obligations of Cell Cure and Hadasit, and indemnification obligations of Cell Cure.</w:t>
      </w:r>
    </w:p>
    <w:p>
      <w:pPr>
        <w:pStyle w:val="TextBody"/>
        <w:bidi w:val="0"/>
        <w:spacing w:before="360" w:after="283"/>
        <w:jc w:val="both"/>
        <w:rPr>
          <w:rFonts w:ascii="Times New Roman" w:hAnsi="Times New Roman"/>
          <w:sz w:val="20"/>
        </w:rPr>
      </w:pPr>
      <w:r>
        <w:rPr>
          <w:rFonts w:ascii="Times New Roman" w:hAnsi="Times New Roman"/>
          <w:i/>
          <w:color w:val="000000"/>
          <w:sz w:val="20"/>
        </w:rPr>
        <w:t>Second Amendment to Clinical Trial and Option Agreement and License Agreement with Cancer Research UK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2020, Lineage and its wholly owned subsidiary Asterias entered into a Second Amendment to Clinical Trial and Option Agreement (the “CTOA Amendment”) with CRUK and CRT, which amends the Clinical Trial and Option Agreement entered into between Asterias, CRUK and CRT dated September 8, 2014, as amended September 8, 2014. Pursuant to the CTOA Amendment, Lineage assumed all obligations of Asterias and exercised early its option to acquire data generated in the Phase 1 clinical trial of VAC2 in non-small cell lung cancer being conducted by CRUK.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Either party may terminate the CRT License Agreement for the uncured material breach of the other party. CRT may terminate the CRT License Agreement in the case of Lineage’s insolvency or if Lineage ceases all development and commercialization of all products under the CRT License Agreement.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WARF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rights to certain U.S. and international issued patents, pending patent applications, and stem cell lines with the Wisconsin Alumni Research Foundation (“WARF”) under a Commercial License and Option Agreement entered into between Lineage and WARF in January 2008 and a Non-Exclusive License Agreement entered into between Asterias and WARF in October 2013 (collectively, the “WARF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WARF Agreements, we have a worldwide non-exclusive license under certain WARF patents and WARF-owned primate (including human) stem cell lines covered by such patents for use in internal research, and to make, use and sell products that are used as research tools and products that are discovered or developed through our internal research using such patents and stem cells. We paid upfront license fees and have agreed to additional payments upon the attainment of specified clinical development milestones, royalties on sales of commercialized products, and, subject to certain exclusions, a percentage of any payments that we may receive from any sublicenses that we may grant to use the licensed patents or stem cell lines.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WARF Agreements will terminate with respect to licensed patents upon the expiration of the last licensed patent to expire and with respect to licensed cell lines until terminated by a party. We may terminate the WARF Agreements at any time with prior written notice, and WARF may terminate the WARF Agreements upon a breach. We have agreed to indemnify WARF and certain other designated affiliated entities from liability arising out of or relating to the death or injury of any person or damage to property due to the sale, marketing, use or manufacture of products that are covered by the licensed patents, licensed stem cell lines or inventions or materials developed or derived from the licensed patents or stem cell lines.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Royalty Agreement with Geron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Asterias’s acquisition of Geron’s stem cell assets in October 2013, we entered into a royalty agreement with Geron (the “Royalty Agreement”) pursuant to which we agreed to pay Geron a 4% royalty on net sales by us or any of our affiliates or sales agents of any products that we develop and commercialize that are covered by the patents Geron contributed to us. In the case of sales of such products by a person other than us or one of our affiliates or sales agents, we will be required to pay Geron 50% of all royalties and cash payments received by us or by our affiliate in respect of a product sale. The Royalty Agreement will terminate at the expiration or termination date of the last issued patent contributed by Geron under the Royalty Agreement. We estimate that the latest patent expiration date will occur in 2029.</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Government authorities at the federal, state and local level, and in other countries, extensively regulate among other things, the development, testing, manufacture, quality, approval, safety, efficacy, distribution, labeling, packaging, storage, record keeping, monitoring, reporting, marketing, import/export and promotion of drugs, biologics, and medical devices. Authorities also heavily regulate many of these activities for human cells, tissues, and cellular and tissue-based products (“HCT/Ps”).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FDA and Foreign Regulation of Therapeutic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and foreign regulatory authorities will regulate our proposed products as drugs, biologics or medical devices, depending upon such factors as the use to which the product will be put, the chemical composition, and the interaction of the product with the human body. In the United States, the FDA regulates drugs, biologics and medical devices, among other products, under the Federal Food, Drug and Cosmetic Act (“FDCA”), the Public Health Service Act (“PHSA”), and implementing regulations. Under this regulatory structure, establishments that manufacture HCT/Ps are subject to many regulations, including, but not limited to, registration and listing requirements and current good tissue practices. Certain proposed cell therapy products will be reviewed by the FDA staff in its Center for Biologics Evaluation and Research Office of Therapeutic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human drug and biologic products will be subject to rigorous FDA review and approval procedures before they may be marketed in the United States. After testing in animals to evaluate the potential efficacy and safety of the product candidate, an IND submission must be made to the FDA to obtain authorization for human testing. Extensive clinical testing, which is generally done in three phases, must then be undertaken to demonstrate substantial evidence of safety and efficacy of each product in humans. Each clinical trial is conducted under the auspices of an independent Institutional Review Board (“IRB”). The IRB will consider, among other things, ethical factors, the safety of human subjects, and the possible liability of the institution.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Phase 1 clinical trials are conducted in a small number of healthy volunteers or volunteers with the target disease or condition to assess safety and dosage. Phase 2 clinical trials are conducted with groups of patients afflicted with the target disease or condition in order to determine preliminary efficacy, optimal dosages and expanded evidence of safety. In some cases, an initial trial is conducted in diseased patients to assess both preliminary safety and preliminary efficacy, in which case it is referred to as a Phase 1/2 clinical trial. Phase 3 clinical trials are large-scale, multicenter, comparative trials and are conducted with patients afflicted with the target disease or condition in order to provide enough data to demonstrate the efficacy and safety required by the FDA. The FDA closely monitors the progress of each of the three phases of clinical testing and may, at its discretion, re-evaluate, alter, suspend or terminate the clinical trial based upon the data which have been accumulated to that point and FDA's assessment of the risk/benefit ratio to the intended patient population. The clinical trial sponsor is required to report adverse events to the FDA and IRB in accordance with FDA laws and regulations. Monitoring of all aspects of the trial to minimize risks is a continuing process.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 action can be taken to market any therapeutic product in the U.S. until a New Drug Application (“NDA”) or Biologics License Application (“BLA”), as applicable, has been approved by the FDA. Submission of the application is not a guarantee that the FDA will find it complete and accept it for filing. If an application is accepted for filing, following the FDA’s review of safety and efficacy data compiled from clinical trials, the FDA may grant marketing approval, or deny the application by way of a complete response letter if it determines that the application does not provide an adequate basis for approval. FDA regulations also restrict the export of therapeutic products for clinical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use prior to FDA approval. Before approving an NDA or BLA, the FDA will inspect the facilities at which the product is manufactured or perform an establishment file review of the site. The FDA will not approve the product unless it determines that the manufacturing processes and facilities are in compliance with the requirements of current Good Manufacturing Practices (“cGMPs”) and adequate to assure consistent production of the product within required specifications including good tissue practices (“GTPs”) to the extent applicable. FDA's cGMP regulations detail minimum requirements for the methods, facilities, and controls used in manufacturing, processing, and packing of a drug product. FDA's GTP regulations and guidance documents govern the methods used in, and the facilities and controls used for, the manufacture of HCT/Ps. The primary intent of the GTP requirements is to ensure that cell and tissue-based products are manufactured in a manner designed to prevent the introduction, transmission and spread of communicable disease. FDA regulations also require HCT/P establishments to register and list their HCT/Ps with the FDA and, when applicable, to evaluate donors through screening and testing. To maintain compliance with cGMPs, GTPs, and good clinical practices ("GCPs"), an applicant must incur significant expenditure of time, money and effort in areas including, but not limited to, training, record keeping, production, and quality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date, the FDA has not granted marketing approval to any pluripotent stem cell-based therapeutic products, and it is possible that the FDA or foreign regulatory agencies may subject our product candidates to additional or more stringent review than drugs or biologics derived from other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offers several programs to expedite development of products that treat serious or life-threatening illnesses and that provide meaningful therapeutic benefits to patients over existing treatments. A drug is eligible for designation as a Regenerative Medicine Advanced Therapy ("RMAT") if: the drug is a regenerative medicine therapy, which is defined as a cell therapy, therapeutic tissue engineering product, human cell and tissue product or any combination product using such therapies or products, except for those regulated solely under Section 361 of the Public Health Service Act; the drug is intended to treat, modify, reverse or cure a serious or life-threatening disease or condition; and preliminary clinical evidence indicates that the drug has the potential to address unmet medical needs for such disease or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Orphan Drug Act, the FDA may grant orphan designation to a drug or biologic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available a drug or biologic for this type of disease or condition will be recovered from sales in the United States for that drug or biologic. Orphan drug designation is a separate process from seeking an NDA or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product that has orphan drug designation subsequently receives the first FDA approval for the disease for which it has such designation, the product may be entitled to orphan drug exclusivity, which means that the FDA may not approve any other applications, including a full NDA or BLA, to market the same drug biologic for the same indication for seven years, except in limited circumstances, such as a showing of clinical superiority to the product with orphan drug exclusivity. Orphan drug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NDA or BLA application fee. 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Combination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Combination products are defined by the FDA to include products comprised of two or more regulated components or parts such as a biologic and a device. When regulated independently, biologics and devices each have their own regulatory requirements. However, the regulatory requirements for a combination product comprised of a biologic administered with a delivery device can be more complex because, in addition to the individual regulatory requirements for each component, additional combination product regulatory requirements may apply. The Office of Combination Products at the FDA coordinates the review of such products and determines the primary mode of action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 a combination product. The definition and regulatory requirements for combination products may differ significantly among countries in which we may seek approval of our product candidates.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FDA Regulation of Manufacturing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regulates the manufacturing process of pharmaceutical products, HCT/Ps, and medical devices, requiring that they be produced in compliance with cGMP and GTP. See “Manufacturing", above. The FDA regulates and inspects equipment, facilities, laboratories and processes used in the manufacturing and testing of products prior to providing approval to market products. If, after receiving approval from the FDA, a material change is made to manufacturing equipment or to the location or manufacturing process, additional regulatory review may be required. The FDA also conducts regular, periodic visits to re-inspect the equipment, facilities, laboratories and processes of manufacturers following an initial approval. If, as a result of a post-approval inspection, the FDA determines that equipment, facilities, laboratories or processes do not comply with applicable FDA regulations and conditions of product approval, the FDA may seek civil, criminal or administrative sanctions and/or remedies against the manufacturer, including, but not limited to, suspension of manufacturing operations. Issues pertaining to manufacturing equipment, facilities or processes may also delay the approval of new products undergoing FDA review.</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FDA Regulation of Advertising and Product Promotion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also regulates the content of advertisements used to market pharmaceutical and biologic products. Claims made in advertisements concerning the safety and efficacy of a product, or any advantages of a product over another product, must be supported by clinical data filed as part of an NDA, a BLA, or an amendment to an NDA or a BLA, and must be consistent with the FDA-approved labeling and dosage information for that product. Additionally, the FDCA prohibits manufacturers of pharmaceutical and/or biologic products from making any claims, implicit or explicit, that are "false or misleading in any particular".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Pharmaceutical and biologic products may be promoted only for the approved indications in accordance with the approved label. The FDA and other agencies actively enforce the laws and regulations prohibiting the promotion of off-label uses, and a company that is found to have improperly promoted off-label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Foreign Regulation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pharmaceutical products outside the U.S. are subject to foreign regulatory requirements that vary widely from country to country. Even if FDA approval has been obtained, approval of a product by comparable regulatory authorities of foreign countries must be obtained prior to the commencement of marketing the product in those countries. The time required to obtain such approval may be longer or shorter than that required for FDA approval.</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Federal Funding and State Regulations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July 7, 2009, the National Institute of Health ("NIH") adopted guidelines on the use of hES cells in federally funded research. The central focus of the guidelines is to assure that hES cells used in federally funded research are derived from human embryos that were created for reproductive purposes, are no longer needed for this purpose, and are voluntarily donated for research purposes with the informed written consent of the donors. hES cells that were not derived in compliance with the guidelines are not eligible for use in federally funded research.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State of California has adopted legislation and regulations that require institutions that conduct stem cell research to notify, and in certain cases obtain approval from, a Stem Cell Research Oversight Committee (“SCRO Committee”) before conducting the research. Under certain California regulations, all hES cell lines used in our research must be acceptably derived. California regulations further require certain records to be maintained with respect to stem cell research and the materials used. Lineage programs that involve the use of stem cells have been reviewed by a SCRO Committee to confirm compliance with federal and state guidelines.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hES cell lines that we use are all on the NIH registry of lines that have been reviewed and meet standards for federal funding grants. All of our research programs utilize stem cells from established and well-characterized cell lines and which are capable of self-renewal and expansion through normal cellular division (mitosis). Our research programs do not require new tissue or cells from donors of any kind.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Health Insurance Portability and Accountability Act and Other Health Information Privacy and Security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Health Insurance Portability and Accountability Act (“HIPAA”), as amended by the Health Information Technology for Economic and Clinical Health Act (“HITECH”), and their respective implementing regulations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and their subcontractors that use, disclose, access, or otherwise process individually identifiable protected health information, with respect to protecting the privacy, security, and transmission of protected health information. HIPAA also regulates standardization of data content, codes and formats used in healthcare transactions and standardization of identifiers for covered health plans and providers. Penalties for violations of HIPAA regulations include civil and criminal penalties. Additionally, HITECH created four new tiers of civil monetary penalties, amended HIPAA to make civil and criminal penalties directly applicable to business associates, and gave state attorneys general new authority to file civil actions for damages or injunctions in U.S. federal courts to enforce HIPAA and seek attorneys’ fees and costs associated with pursuing federal civil actions. In addition, certain state and foreign laws also govern the privacy and security of health information in some circumstances, many of which differ from each other in significant ways and often are not preempted by HIPAA, thus complicating compliance efforts.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Privacy and Data Security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ordinary course of our business, we may collect, receive, store, process, generate, use, transfer, disclose, make accessible, protect, secure, dispose of, transmit, and share (collectively, processing) personal data and other sensitive information, including data we collect about trial participants in connection with clinical trials. Accordingly, we are, or may become, subject to numerous data privacy and security requirements related to data privacy, security, and protection under federal, state, local, and foreign laws, regulations, guidance, and industry standards, many of which place restrictions on the Company's ability to transfer, access and use personal data across its business. Compliance with such requirements increases the cost and complexity of doing business and non-compliance may result in, among other penalties and sanctions, substantial monetary fines. The data privacy, security, and protection laws to which we may be subject include, without limitation, the Federal Trade Commission Act, the California Consumer Privacy Act of 2018 (“CCPA”), as amended by the California Privacy Rights Act of 2020 (“CPRA”), the Virginia Consumer Data Protection Act ("VCDPA"), Colorado Privacy Act ("CPA"), Connecticut Data Privacy Act ("CDPA"), Utah Consumer Privacy Act ("UPA"), Israel’s Protection of Privacy Law 5741-1981, the European Union’s General Data Protection Regulation 2016/679 (“EU GDPR”), the EU GDPR as it forms part of United Kingdom (“UK”) law by virtue of section 3 of the European Union (Withdrawal) Act 2018 (“UK GDPR”), and the ePrivacy Directive. In addition, several states within the United States have enacted comprehensive data privacy laws, similar to the active laws in California, Virginia, Colorado, Connecticut and Utah. These states include Delaware, Indiana, Iowa, Montana, New Jersey, Oregon, Tennessee and Texas.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CCPA and EU GDPR are examples of increasingly stringent and evolving regulatory frameworks related to personal data processing, which increase compliance obligations and exposure for noncompliance. For example, the CCPA imposes obligations on covered businesses to provide specific disclosures related to a business’s collection, use, and disclosure of personal data and a requirement to respond to certain requests from California residents to exercise certain rights related to their personal data. The CCPA also provides for civil penalties for violation of the provisions of the act and a private right of action for certain data breaches. The VCDPA, CPA, CDPA and UPA have similar requirements and provisions, though none of them allow for a private right of action. U.S. federal and state consumer protection laws also require us to publish statements that accurately and fairly describe how we handle personal data and choices individuals may have about the way we handle their personal data.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EU GDPR applies to any company established in the European Economic Area (“EEA”) and to companies established outside the EEA that process personal data in connection with the offering of goods or services to data subjects in the EEA or the monitoring of the behavior of data subjects in the EEA. These obligations may include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limiting personal data processing to only what is necessary for specified, explicit, and legitimate purposes; requiring a legal basis for personal data processing; requiring the appointment of a data protection officer in certain circumstances; increasing transparency obligations to data subjects; requiring data protection impact assessments in certain circumstances; limiting the collection and retention of personal data; increasing rights for data subjects; formalizing a heightened and codified standard of data subject consents; requiring the implementation and maintenance of technical and organizational safeguards for personal data; mandating notice of certain personal data breaches to the relevant supervisory authority(ies) and affected individuals; and mandating the appointment of representatives in the UK and/or the EU in certain circumstances. Moreover, under the EU GDPR, government regulators may impose temporary or definitive bans on data processing, as well as fines of up to 20 million euros or 4% of a company’s annual global revenue, whichever is greater. Further, individuals may initiate litigation related to processing of their personal data. Data protection authorities from the different EU Member States may still implement certain variations, enforce the GDPR and national data protection laws differently, and introduce additional national regulations and guidelines, which adds to the complexity of processing personal data in the EU. Guidance developed at both the EU level and at the national level in individual EU Member States concerning implementation and compliance practices is often updated or otherwise revised. There is, moreover, a growing trend towards required public disclosure of clinical trial data in the EU which adds to the complexity of obligations relating to processing health data from clinical trials. Failing to comply with these obligations could lead to government enforcement actions and significant penalties against the Company, harm to its reputation, and adversely impact its business and operating results. The uncertainty regarding the interplay between different regulatory frameworks further adds to the complexity that the Company faces with regard to data protection regulation. In addition, Israel’s Protection of Privacy Law 5741-1981 and the regulations promulgated thereunder impose certain obligations with respect to the manner personal data is processed, and government regulators may issue fines or sanctions for non-compliance.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jurisdictions have enacted data localization laws and cross-border personal data transfer laws, which could make it more difficult to transfer information across jurisdictions (such as transferring or receiving personal data that originates in the EU or in other foreign jurisdictions). Existing mechanisms that facilitate cross-border personal data transfers may change or be invalidated. For example, absent appropriate safeguards or other circumstances, the EU GDPR generally restricts the transfer of personal data to countries outside of the EEA, such as the United States, that the European Commission does not consider to provide an adequate level of data privacy and security. Following the Schrems II decision of the Court of Justice of the EU in 2020, there is considerable uncertainty as to the permissibility of international data transfers under the GDPR. The European Commission released a set of “Standard Contractual Clauses” (“SCCs”), that are designed to be a valid mechanism to facilitate personal data transfers out of the EEA to these jurisdictions. Currently, these SCCs are a valid mechanism to transfer personal data outside of the EEA, but there exists some uncertainty regarding whether the SCCs will remain a valid mechanism. Additionally, the SCCs impose additional compliance burdens, such as conducting transfer impact assessments to determine whether additional security measures are necessary to protect the at-issue personal data. In addition, President Biden issued an Executive Order on October 7, 2022 to address the data privacy concerns raised in the Schrems II decision through introducing, among other measures, further safeguards and oversight of personal data collection by U.S. signals intelligence activities and providing individuals with a redress mechanism in the U.S. for their data protection concerns. Further, on July 10, 2023, the European Commission adopted its adequacy decision for the EU-US Data Privacy Framework (successor to the invalidated EU-U.S. Privacy Shield). However, it remains likely that such a new Adequacy Decision will be contested by privacy advocates and be subject to legal review. In addition, Switzerland and the UK similarly restrict personal data transfers outside of those jurisdictions to countries, such as the United States, that do not provide an adequate level of personal data protection, and certain countries outside Europe (e.g., Israel) have also passed or are considering laws requiring local data residency or otherwise impeding the transfer of personal data across borders.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business practices in the healthcare industry have come under increased scrutiny, particularly in the U.S., by government agencies (e.g., the FTC and HHS) and state attorneys general, which continue to stress the intersection of health and privacy as a compliance and enforcement priority. Resulting investigations and prosecutions carry the risk of significant civil and criminal penalties. Of note is the increased enforcement activity by data protection authorities in various jurisdictions, particularly in the European Union, where significant fines have been levied on companies for data breaches, violations of privacy requirements, and unlawful cross-border data transfers. In the U.S., the Federal Trade Commission has stepped up enforcement of data privacy with several significant settlements (including settlements concerning the downstream sharing of personal information and use and disclosure of personal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health data) and there have been a material increase in class-action lawsuits linked to the collection and use of biometric data and use of tracking technologies.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Federal and State Fraud and Abuse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variety of federal and state laws prohibit fraud and abuse. These laws are interpreted broadly and enforced aggressively by various state and federal agencies, including the Centers for Medicare &amp; Medicaid Services (“CMS”), the Department of Justice, the Office of Inspector General for the U.S. Department of Health and Human Services (“HHS”), and various state agencies. In addition, the Medicare and Medicaid programs increasingly use a variety of contractors to review claims data and to identify improper payments as well as fraud and abuse. These contractors include Recovery Audit Contractors, Medicaid Integrity Contractors and Zone Program Integrity Contractors. In addition, CMS conducts Comprehensive Error Rate Testing audits, the purpose of which is to detect improper Medicare payments. Any overpayments identified must be repaid unless a favorable decision is obtained on appeal. In some cases, these overpayments can be used as the basis for an extrapolation, by which the error rate is applied to a larger universe of claims, and which can result in even higher repayments.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Anti-Kickback Statute prohibits, among other things, knowingly and willfully offering, paying, soliciting, receiving, or providing remuneration, directly or indirectly, to induce or in return for either the referral of an individual, or the furnishing, recommending, or arranging for the purchase, lease or order of any healthcare item or service reimbursable, in whole or in part, under a federal healthcare program. The definition of “remuneration” has been broadly interpreted to include anything of value, including gifts, discounts, credit arrangements, payments of cash, ownership interests and providing anything at less than its fair market value. Recognizing that the federal Anti- Kickback Statute is broad and may prohibit certain common activities within the healthcare industry, the Office of Inspector General for HHS has issued a series of statutory exceptions and regulatory “safe harbors.” However, these exceptions and safe harbors are drawn narrowly and require strict compliance in order to offer protection from prosecution under the federal Anti-Kickback Statute. Although payment and business practices that meet the requirements of a safe harbor are not treated as offenses under the federal Anti-Kickback Statute, the failure of a transaction or arrangement to fit within a specific safe harbor does not necessarily mean that the transaction or arrangement is illegal or that prosecution under the federal Anti-Kickback Statute will be pursued. However, conduct and business arrangements that do not fully satisfy all requirements of an applicable safe harbor may result in increased scrutiny by government enforcement authorities and would be evaluated on a case-by-case basis based on a cumulative review of their facts and circumstances. Additionally, the Patient Protection and Affordable Care Act, as amended by the Healthcare and Education Reconciliation Act (collectively, the “ACA”) codified case law that a claim including items or services resulting from a violation of the federal Anti-Kickback Statute constitutes a false or fraudulent claim for purposes of the federal False Claims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civil and criminal false claims laws, including the federal False Claims Act, which can be enforced by private citizens on behalf of the government, through civil whistleblower or qui tam actions, and civil monetary penalty laws, which prohibit, among other things, individuals or entities from knowingly presenting, or causing to be presented, claims for payment from Medicare, Medicaid, or other third-party payors that are false or fraudulent. Pharmaceutical and other healthcare companies have been prosecuted under these laws for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healthcare programs for the product. As a result of a modification made by the Fraud Enforcement and Recovery Act of 2009, a claim includes “any request or demand” for money or property presented to the U.S. government. In addition, manufacturers can be held liable under the federal False Claims Act even when they do not submit claims directly to government payors if they are deemed to “cause” the submission of false or fraudulent claims.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HIPAA also created new federal crimes, including healthcare fraud and false statements relating to healthcare matters. The healthcare fraud statute prohibits knowingly and willfully executing a scheme to defraud any healthcare benefit program, including private third-party payers. The false statements statute prohibits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Physician Payments Sunshine Act requires certain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states have laws similar to the federal laws described above and the state laws may be broader in scope and may apply regardless of payor, such as state anti-kickback and false claims laws that may apply to sales or marketing arrangements and claims involving healthcare items or services reimbursed by non-governmental third party payors, including private insurers, or that apply regardless of payor, state laws that require pharmaceutical companies to comply with the pharmaceutical industry’s voluntary compliance guidelines and the relevant compliance guidance promulgated by the federal government, state and local laws that require drug manufacturers to report information related to payments and other transfers of value to physicians and other healthcare providers or marketing expenditures, state laws that require the reporting of information related to drug pricing, and state and local laws requiring the registration of pharmaceutical sales representatives.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the U.S. Foreign Corrupt Practices Act (“FCPA”) prohibits U.S. corporations and their representatives from offering, promising, authorizing or making payments to any foreign government official, government staff member, political party or political candidate in an attempt to obtain or retain business abroad. The scope of the FCPA includes interactions with certain healthcare professionals in many countries. Other countries have enacted similar anti-corruption laws and/or regulations.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operations are found to be in violation of any of the laws described above, or any other governmental regulations that apply to us, we may be subject to significant civil, criminal and administrative penalties, including sanctions, damages, disgorgement, monetary fines, possible exclusion from participation in Medicare, Medicaid and other federal healthcare programs, imprisonment, integrity oversight and reporting obligations, contractual damages, reputational harm, diminished profits and future earnings, and curtailment or restructuring of our operations.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Coverage and Reimbursement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Patients generally rely on third-party payors to reimburse part or all of the costs associated with medical products. Accordingly, market acceptance of medical products can depend on the extent to which third-party coverage and reimbursement is available from government health administration authorities, private healthcare insurers and other healthcare funding organizations. No uniform policy for coverage and reimbursement exists in the United States, and coverage and reimbursement can differ significantly from payor to payor. Decisions regarding whether to cover any of our product candidates, if approved, the extent of coverage and amount of reimbursement to be provided are made on a plan-by-plan basis. 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Pharmaceutical companies may be required to provide specified rebates or discounts on the products it sells to certain government funded programs, including Medicare and Medicaid, and those rebates or discounts have increased over time. The ACA increased many of these mandatory discounts and rebates required and imposed a new branded prescription pharmaceutical manufacturers and importers fee payable each year by certain pharmaceutical companies and manufacturers.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Outside of the United States,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Historically, products launched in the EU do not follow price structures of the United States and generally tend to be significantly lower.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Healthcare Reform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healthcare programs, and increased governmental control of drug pricing.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March 2010, the ACA was signed into law, which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 Since its enactment, there have been judicial, Congressional, and executive branch challenges to certain aspects of the ACA. For example, legislation enacted in 2017, informally known as the Tax Cuts and Jobs Act (the “2017 Tax Act”), among other things, removes penalties for not complying with ACA’s individual mandate to carry health insurance. On June 17, 2021, the U.S. Supreme Court dismissed a challenge on procedural grounds that argued the ACA is unconstitutional in its entirety because the individual mandate was repealed by Congress. Thus, the ACA will remain in effect in its current form. Moreover,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any such challenges and other litigation, and the healthcare reform measures of the Biden administration will impact the ACA.‌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other legislative changes have been proposed and adopted since the ACA was enacted. On August 2, 2011, the Budget Control Act of 2011 was signed into law, which includes reductions to Medicare payments to providers of 2% per fiscal year, which went into effect on April 1, 2013 and, due to subsequent legislative amendments to the statute, will remain in effect through 2031, except for a temporary suspension from May 1, 2020 through March 31, 2022 due to the COVID-19 pandemic, unless additional Congressional action is taken. Under current legislation, the actual reduction in Medicare payments will vary from 1% in 2022 to up to 3% in the final fiscal year of this sequester.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Further,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Congress is considering additional health reform measures.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Moreover, there has recently been heightened governmental scrutiny over the manner in which manufacturers set prices for their marketed products, which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on July 24, 2020 and September 13, 2020, the Trump administration announced several executive orders related to prescription drug pricing that attempted to implement several of the administration’s proposals. As a result, the FDA concurrently released a final rule and guidance in September 2020 providing pathways for states to build and submit importation plans for drugs from Canada. Further, on November 20, 2020, the HHS finalized a regulation removing safe harbor protection for price reductions from pharmaceutical manufacturers to plan sponsors under Medicare Part D, either directly or through pharmacy benefit managers, unless the price reduction is required by law. The rule also creates a new safe harbor for price reductions reflected at the point-of-sale, as well as a new safe harbor for certain fixed fee arrangements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between pharmacy benefit managers and manufacturers. The implementation of the rule was delayed until 2032 by the Inflation Reduction Act of 2022. On November 20, 2020, CMS issued an interim final rule implementing President Trump’s Most Favored Nation executive order, which would tie Medicare Part B payments for certain physician-administered drugs to the lowest price paid in other economically advanced countries. The Most Favored Nation regulations mandate participation by identified Medicare Part B providers and will apply in all U.S. states and territories for a seven-year period beginning January 1, 2021, and ending December 31, 2027. As a result of litigation challenging the Most Favored Nation model, on December 27, 2021 CMS published a final rule that rescinds the Most Favored Nation model interim final rule. Further, in July 2021, the Biden administration released an executive order that included multiple provisions aimed at prescription drugs. In response to President Biden’s executive order, on September 9, 2021, the HHS released a Comprehensive Plan for Addressing High Drug Prices that outlines principles for drug pricing reform. The plan sets out a variety of potential legislative policies that Congress could pursue as well as potential administrative actions HHS can take to advance these principles. No legislation or administrative actions have been finalized to implement these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August 2022, the Inflation Reduction Act of 2022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Inflation Reduction Act of 2022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Inflation Reduction Act of 2022 permits the Secretary of the HHS to implement many of these provisions through guidance, as opposed to regulation, for the initial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Major Sources of 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shows our major sources of revenues, as a percentage of total revenues, that were recognized during the years ended December 31, 2023 and 2022:</w:t>
      </w:r>
    </w:p>
    <w:p>
      <w:pPr>
        <w:pStyle w:val="TextBody"/>
        <w:bidi w:val="0"/>
        <w:jc w:val="left"/>
        <w:rPr/>
      </w:pPr>
      <w:r>
        <w:rPr/>
        <w:t> </w:t>
      </w:r>
    </w:p>
    <w:tbl>
      <w:tblPr>
        <w:tblW w:w="5760" w:type="dxa"/>
        <w:jc w:val="left"/>
        <w:tblInd w:w="0" w:type="dxa"/>
        <w:tblLayout w:type="fixed"/>
        <w:tblCellMar>
          <w:top w:w="28" w:type="dxa"/>
          <w:left w:w="28" w:type="dxa"/>
          <w:bottom w:w="28" w:type="dxa"/>
          <w:right w:w="28" w:type="dxa"/>
        </w:tblCellMar>
      </w:tblPr>
      <w:tblGrid>
        <w:gridCol w:w="3236"/>
        <w:gridCol w:w="146"/>
        <w:gridCol w:w="174"/>
        <w:gridCol w:w="558"/>
        <w:gridCol w:w="324"/>
        <w:gridCol w:w="174"/>
        <w:gridCol w:w="174"/>
        <w:gridCol w:w="558"/>
        <w:gridCol w:w="416"/>
      </w:tblGrid>
      <w:tr>
        <w:trPr/>
        <w:tc>
          <w:tcPr>
            <w:tcW w:w="3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2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Sources of 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23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Collaboration revenues</w:t>
            </w:r>
          </w:p>
        </w:tc>
        <w:tc>
          <w:tcPr>
            <w:tcW w:w="146"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3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41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Royalties, license and other revenues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3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collaboration revenues for the years ended December 31, 2023 and 2022 are related primarily to the $50.0 million upfront payment from Roche under the Roche Agreement. Our royalties, license and other revenues for the years ended December 31, 2023 and 2022 represent cash flows generated under patent families that Asterias acquired from Geron. See Note 3 (Revenue) and Note 14 (Commitments and Contingencies) to our consolidated financial statements included in this report for additional information.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 of our revenue for the years ended December 31, 2023 or 2022 were generated outside of the United States.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Marketing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do not have established marketing, sales or distribution infrastructure or capabilities. In order to commercialize any of our product candidates if approved for commercial sale, we must either establish a sales and marketing organization with technical expertise and supporting distribution and compliance capabilities or collaborate with third-parties that have sales and marketing experience. As we move our product candidates through development toward regulatory approval, we intend to evaluate options for each product candidate’s commercialization strategy. These options include building our own sales force and other commercial infrastructure, entering into strategic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marketing collaborations with third parties, out-licensing the product to other pharmaceutical or biotechnology companies, and combinations of these strategies.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cell therapy industry is characterized by rapid innovation, intense and dynamic competition with a strong emphasis on proprietary products. While we believe that our technology, manufacturing capabilities, scientific knowledge, and experience in the field of cell therapy provide us with competitive advantages, we face potential competition from many different sources, including major pharmaceutical and biotechnology companies with substantially greater financial and other resources than we have, academic institutions and governmental agencies and public and private research institutions, as well as standard-of-care treatments, new products undergoing development and combinations of existing and new therapies. Any product candidates that we successfully develop and commercialize will compete with existing therapies and new therapies, including combinations thereof, that may become available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mentioned above, some of our competitors have substantially greater financial and other resources than we have, such as larger research and development staff and well-established marketing and salesforces, or may operate in jurisdictions with lower standards of evidence to bring products to market. For example, we are aware that some of our competitors, including Bristol-Myers Squibb Company, Eli Lilly and Company, Novo Nordisk A/S, Novartis AG, Johnson &amp; Johnson, Merck &amp; Co Inc., Gilead Sciences Inc., Bayer AG, BioNTech SE, Moderna Inc., Sana Biotechnology Inc., Century Therapeutics Inc., MAIA Biotechnologies, Astellas Pharma Inc., and Apellis Pharmaceuticals Inc., may be conducting clinical trials for therapies that could compete with our cell therapy programs.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Lineage was incorporated on November 30, 1990 in the State of California. Our common shares trade on the NYSE American and the Tel Aviv Stock Exchange under the symbol “LCTX.” Our principal executive offices are at 2173 Salk Avenue, Suite 200, Carlsbad, CA 92008, USA, and our phone number at that address is (442) 287-8990. Our website address is www.lineagecell.com. The information on, or that can be accessed through our website, is not part of this report. We routinely use our website as a means of disclosing material non-public information and for complying with our disclosure obligations under Regulation FD. We also make available, free of charge through our website, our most recent annual report on Form 10-K, quarterly reports on Form 10-Q, current reports on Form 8-K and any amendments to those reports as soon as reasonably practicable after the reports are electronically filed with or furnished to the SEC.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4" w:name="item_1a_risk_factors"/>
      <w:bookmarkEnd w:id="4"/>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investment in our common shares involves a high degree of risk. You should carefully consider all the risk factors described below, as well as the other information in this report, when evaluating our business and before deciding whether to purchase, hold or sell our common shares. Each of these risk factors, as well as additional risks not presently known to us or that we currently consider immaterial, could harm our business, financial condition, results of operations and/or growth prospects, as well as adversely affect the market price of our common shares, in which case you may lose all or part of your investment.</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Risks Related to Our Business Operations and Capital Requirements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We have incurred operating losses since inception, and we do not know if or when we will attain profitability.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total operating losses for the fiscal years ended December 31, 2023 and 2022 were $24.7 million and $22.5 million, respectively, and we had an accumulated deficit of $384.9 million as of December 31, 2023. Since inception, we have incurred significant operating losses and we expect to continue to incur significant operating losses for the foreseeable future. Unless and until we or a third-party collaborator succeed in developing, obtaining regulatory approval for, and generating substantial revenue from sales of one or more of our product candidates, we do not expect to become profitable. All of our product candidates will require substantial additional development time and resources before we or any collaborator would be able to apply for or receive any regulatory approval to market and sell a product, and the timeline for and outcome of these development efforts is highly uncertain. We anticipate our operating losses will increase substantially as we continue our development of, seek regulatory approval for and potentially commercialize our product candidates and seek to identify, assess, acquire, in-license or develop additional product candidates. We may never achieve profitability.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become and remain profitable, we must succeed in developing and eventually commercializing products that generate significant revenue. This will require us and our collaborators to be successful in a range of challenging activities, including completing clinical and nonclinical studies of our product candidates, obtaining regulatory approval for these product candidates, manufacturing, marketing, and selling any approved products, and satisfying any post-marketing regulatory requirements. We are attempting to develop new technology and therapeutic products. Cell therapy is a nascent field with limited regulatory approval precedent, which makes it difficult to predict the time and cost of product candidate development and seeking regulatory approval. The regulatory pathway with the FDA and comparable foreign regulatory authorities may be more complex, time-consuming, and unpredictable relative to more well-known therapeutic approaches. We and our collaborators may never succeed in these activities and, even if we do, may never generate revenues that are significant enough for us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you to lose all or part of your investment.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investigational allogeneic cell therapies represent a novel approach to the treatment of serious medical conditions, which gives rise to significant challenges. We or our collaborators may not succeed in developing any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developing a pipeline of allogeneic cell therapy product candidates with cells that we create by applying proprietary differentiation protocols to established pluripotent cell lines and which must be either transplanted into patients to replace or support cells that are dysfunctional or absent due to degenerative disease or traumatic injury or administered by injection as a means of helping the body mount a more robust and effective immune response to cancer or infectious diseases. Allogeneic cell therapy is still an emerging area of therapeutic medical intervention, and as such, it is difficult to accurately predict the type and scope of challenges we and our collaborators may face during the development of our product candidates. We and our collaborators face significant challenges and uncertainties associated with the manufacture, preclinical and clinical development, regulatory approval pathway, and third-party payor coverage and reimbursement of our product candidates required for successful commercialization,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our product candidates to our internal standards and those of our collaborators, as applicable, as well as to applicable regulatory specifications, in a timely manner, and on the scale necessary to support larger-scale clinical trials, and, if approved, commercialization;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understanding and addressing variability in our cell manufacturing processes, which could affect our ability, or the ability of our collaborators, as applicable, to produce clinical trial material and, if approved, commercial product in a reliable and consistent manner;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designing and completing clinical trials of our product candidates that will demonstrate their safe and effective use to treat the targeted disease or other medical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sourcing clinical and, if approved, commercial supplies of key components required for the manufacture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developing formulations of our cells that reduce or eliminate dose preparation or other complexities of handling and administration of our product candidates at the point of care;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identifying, developing and validating delivery systems and methods for successful surgical transplantation of our cells;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obtaining regulatory approval, as the regulatory frameworks for approval of potential allogeneic cell therapies in and outside of the U.S. are evolving;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establishing sales, marketing, and compliance capabilities to gain acceptance of a novel therapy, if approved;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sufficient product coverage and reimbursement from third-party payors such as government healthcare administration authorities and private healthcare insurers for any approved product to enable the product to compete in the marketplace and become commercially profitable;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and maintaining intellectual property protection for our product candidates, the operations used to manufacture them and the methods for using them in order to prevent third parties from making, using, selling, offering to sell or importing our product candidates or otherwise exploiting our cell manufacturing processes.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not successful in addressing key challenges in development and commercialization of our cell therapy product candidates, or if our product candidates and technologies do not prove to be safe or effective for the indications for which they are being developed, our business prospects and revenue opportunities will be materially limited.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will continue to spend a substantial amount of our capital on research and development, but we might not succeed in developing products that are safe and effective for their target indications or commercially viable.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research and development activities are costly, time consuming, and their results are uncertain. We incurred research and development expenses amounting to approximately $15.7 million and $14.0 million during the fiscal years ended December 31, 2023 and 2022, respectively, and we expect to continue to incur substantial research and development expenses. If we successfully develop a new technology or product, refinement of the new technology or product and definition of the practical applications and limitations of the technology or product may take years and require large sums of money. Clinical trials of new therapeutic products, particularly those products that are regulated as biologics, drugs, or devices, such as our product candidates, are very expensive and take years to complete. Only a small percentage of therapeutic product candidates that enter the development process ever receive marketing approval. Even with substantial spending on research and development of our product candidates, they might not prove to be safe or efficacious in the human medical applications for which they are being developed, or they may prove too expensive to manufacture or otherwise fail to gain sufficient market acceptance to be commercially viable.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will need to obtain substantial additional funding to complete the development and seek regulatory approval of our product candidates and to commercialize products approved for marketing, if any. If we are unable to obtain adequate capital when needed, we may delay, reduce, limit the pace of, suspend or discontinue our product and technology development programs or other operations, which could significantly harm our business and prospects and cause the market price of our common shares to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December 31, 2023, we had $35.5 million of cash, cash equivalents and marketable securities. We believe that our cash, cash equivalents and marketable securities as of December 31, 2023, together with the $13.8 million raised in net proceeds from the registered direct offering of our common shares we completed in February 2024, will be sufficient to fund our planned operations for at least the next 12 months after the issuance of this report; however, these resources will not be sufficient to fund our product candidates through regulatory approval, and we will need to raise substantial additional capital to complete the development and seek regulatory approval of our product candidates and to commercialize products approved for marketing, if any. In addition, we may seek additional capital due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favorable market conditions or strategic considerations even if we believe we have sufficient funds for our planned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Until such time as we are able to generate sufficient revenues from product sales, royalties or license fees, if ever, we expect to fund our operations through equity offerings, debt financings or other third-party capital sources, including potentially new grants from governmental entities or strategic alliances, collaborations, licenses or other similar arrangements. However, additional capital may not be available to us when needed, on favorable terms, or at all, and any additional capital raised may not be sufficient to enable us to complete development or obtain regulatory approval of our product candidates or commercialize approved products, if any. Our past success in raising capital through equity offerings, strategic collaborations and grants from governmental entities should not provide any assurance that we will be successful in raising additional capital through any of those means when needed, or at all. We expect our ability to raise additional capital will depend not only on progress we and our collaborators make in developing our technologies and product candidates, but also on factors outside of our control that affect access to capital and conditions in the capital markets. A low trading volume, share price and market capitalization together with limited revenue and net losses, may make it difficult and expensive for us to raise additional capital through equity or debt financings. Our ability to obtain additional funds and the amount and type of financing available to us may be adversely impacted by unstable and unfavorable market conditions. Due to our significant operations in Israel, the ongoing Israel-Hamas war may also, directly or indirectly, adversely impact our ability to raise additional capital. An economic downturn, recession or recessionary concerns, potential for or actual U.S. government shutdowns, inflation, relatively high interest rates, public health emergencies such as the COVID-19 pandemic, geopolitical conflicts including the Israel-Hamas war and the war in Ukraine, terrorist attacks, global supply chain disruptions. natural or environmental disasters, strained relations between the U.S. and various other countries, social and political discord and unrest in the U.S. and various other countries can be expected to negatively impact financial markets. Volatility and deterioration in the financial markets and relatively high interest rates may make equity or debt financings more difficult, more costly or more dilutive and may increase competition for, or limit the availability of, funding from other third-party sources such as from strategic collaborations and grants from governmental and other entities. Our ability to obtain additional funds and the amount, type and terms of any potential financing may also be adversely affected by the performance of other companies perceived as comparable to us. For example, development setbacks or failures in cell therapies being developed by third parties could have a negative effect on potential investor or strategic collaborator sentiment for our technologies and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unable to raise capital when needed or on attractive terms, we may be forced to significantly delay, reduce, limit the pace of, suspend or discontinue some or all aspects of our product and technology development programs or other operations, fail to meet obligations under our in-license agreements and relinquish important rights, and forego opportunities to expand our pipeline, in which case, our ability to achieve our operational goals could be materially and adversely affected. In addition, if we do not have adequate capital, we may seek strategic alliances for research and development programs at an earlier stage than we would otherwise desire or on terms less favorable than might otherwise be available, or relinquish or license on unfavorable terms, our rights to technologies or future product candidates that we otherwise would seek to develop or commercialize ourselves, which could have a material adverse effect on our business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forecast of the period of time through which our financial resources will support our planned operations is based on a number of assumptions that may prove to be wrong or require adjustment as a result of business decisions, the risks, uncertainties other factors discussed elsewhere in this Risk Factors section or factors not presently known or material to us, and we may use our available financial resources sooner than we currently expect. Our future funding requirements will depend on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scope, progress and results of our ongoing and planned preclinical studies, clinical trials, and nonclinical activities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unanticipated serious safety concerns related to the use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timing of licensing payments we may be required to make based on the development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number and development requirements of product candidates that we may pursue;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outcome of regulatory review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laws or regulations applicable to our product candidates, including but not limited to clinical trial and manufacturing requirements for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decisions to initiate additional clinical trials, not to initiate any clinical trial or to terminate an existing clinical trial;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obtaining and the availability of materials, equipment and devices that are necessary for the production or administration of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existing development and commercialization collaborations and whether we decide to enter into new third-party collaborations for development or commercialization of our product candidates and the terms of any such collaboration;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of establishing and validating new manufacturing processes or facilities for our product candidates and any approved products or of transferring manufacturing responsibilities to a collaborator;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additions or departures of key management or scientific personnel.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cannot conduct our planned operations or otherwise capitalize on business opportunities due to a lack of capital, our business, financial condition, and results of operations could be adversely affected and the market price of our common shares may decline.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Raising additional capital may cause dilution to our existing shareholders, restrict our operations, or require us to relinquish rights to or dilute our economic interest in our product candidates or technology on terms unfavorable to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seek additional capital through a variety of means, including equity offerings, debt financings or other third-party funding, including grants or new strategic alliances and licensing or collaborations. To the extent that we raise additional capital through the sale of equity or convertible debt securities, your ownership interest will be diluted, and the terms may include liquidation or other preferences that adversely affect your rights as a shareholder. Any debt capital financing may involve covenants that restrict our operations, including limitations on additional borrowing and on the use of our assets. If we raise capital through upfront payments or milestone payments pursuant to strategic collaborations with third parties, we may have to relinquish valuable rights to our product candidates and technology or grant licenses on terms that are not favorable to us compared to if we developed and commercialized a product candidate without a strategic collaboration. Any such arrangements may be dilutive to our ownership or economic interest in the products we develop, and we might have to accept royalty payments on product sales rather than receiving the gross revenues from product sales. See, for example, the terms of our agreement with Roche to develop and commercialize OpRegen. Grants from third parties may involve covenants that restrict our operations, require us to relinquish valuable rights in our products, technology and other intellectual property and may be dilutive to our economic interest in products and technologies we develop with such funding. For example, as discussed in Note 14 (Commitments and Contingencies) to our consolidated financial statements included in this report, pursuant to the terms of grants received by Cell Cure from the Israeli government, there are limitations on our ability to manufacture products and transfer or license technologies outside of Israel and considerable contingent financial obligations to the IIA with respect to products, technologies and intellectual property developed with the support of IIA grant funding, which includes the OpRegen program, and, as discussed below in this Risk Factors section, pursuant to the terms of a grant we received from the CIRM in support of clinical development of OPC1, we have royalty payment obligations to CIRM based on net sales of products developed with the support of the CIRM funding, if any.</w:t>
      </w:r>
    </w:p>
    <w:p>
      <w:pPr>
        <w:pStyle w:val="TextBody"/>
        <w:bidi w:val="0"/>
        <w:spacing w:before="360" w:after="283"/>
        <w:jc w:val="both"/>
        <w:rPr>
          <w:rFonts w:ascii="Times New Roman" w:hAnsi="Times New Roman"/>
          <w:sz w:val="20"/>
        </w:rPr>
      </w:pPr>
      <w:r>
        <w:rPr>
          <w:rFonts w:ascii="Times New Roman" w:hAnsi="Times New Roman"/>
          <w:b/>
          <w:color w:val="000000"/>
          <w:sz w:val="20"/>
        </w:rPr>
        <w:t>Our ability to raise capital through equity or convertible debt financings may be limited by applicable rules of the SEC and NYSE American.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raise capital through the sale of equity securities may be limited by various rules and regulations, including rules of the SEC, the NYSE American securities exchange or any other securities exchange on which our common shares are listed, which place limits on the amount of securities that we may sell in certain circumstances or require shareholder approval to sell securities in excess of certain amounts. We may have to forego opportunities to raise capital on favorable terms if we are limited by applicable rules and regulations, which may include requiring us to obtain shareholder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Obtaining shareholder approval may be a costly and time-consuming process, and seeking shareholder approval could delay our ability to secure otherwise available capital, or cause us to miss such opportunities entirely, which may harm our business and prospects, and there is no guarantee our shareholders ultimately would approve a proposed transaction. We could face difficulties in soliciting a sufficient number of shareholder proxies and may have to adjourn or postpone a shareholder meeting, which would further increase the time and expense of obtaining shareholder approval. If our shareholders do not approve a proposed offering and sale involving our equity securities, our ability to raise additional capital may be materially and adversely impacted, as well as our ability to pursue business opportunities where our common shares may be used as consideration, such as strategic transactions to expand our product pipeline, and to retain and recruit key personnel and other employees.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are dependent on our third-party collaboration with Roche to develop and commercialize OpRegen. If Roche is not successful in developing and commercializing OpRegen and/or Roche terminates the collaboration, we will lose a significant source of potential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have a collaboration and license agreement with Roche, pursuant to which we license to Roche rights to develop and commercialize our retinal pigment epithelium cell therapies, including OpRegen (the “Licensed Products”), for the treatment of ocular disorders, including age-related macular degeneration with geographic atrophy. Roche is obligated to pay us milestone payments upon the achievement of specified developmental, regulatory and commercialization milestones. In addition, Roche is obligated to pay us royalties upon sales of the Licensed Products, if any. All regulatory and commercial milestone payments and royalty payments are subject to the existence of certain intellectual property rights that cover OpRegen at the time such payments would otherwise become due, and the royalties on net sales of OpRegen are subject to financial offsets based on the existence of competing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expecting Roche to develop and commercialize the Licensed Products, and if Roche is not able to develop and commercialize the Licensed Products, determines not to continue to pursue development and commercialization of the Licensed Products, or determines to terminate the collaboration at any time in its sole discretion, we will not receive any future milestone or royalty payments under the agreement which would harm our business, business prospects,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Roche may determine not to pursue development and commercialization and/or to terminate the collaboration, in its sole discretion, for many reasons,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delays in development, manufacture or clinical supply of OpRegen;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Roche may believe that data generated in clinical trials for OpRegen may be negative, inconclusive, or do not otherwise demonstrate adequate efficacy or clinical benefit to warrant further development or commercialization;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Roche may conclude that the commercial landscape in GA secondary to AMD has significantly changed with the FDA’s approval in 2023 of Apellis Pharmaceuticals, Inc.’s Syfovre® (pegcetacoplan injection) and Iveric bio, Inc.’s IZERVAY (avacincaptad pegol intravitreal solution);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Roche may not dedicate the resources necessary to carry OpRegen through clinical development, regulatory approval, or commercialization;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Roche may conclude that the commercial potential of OpRegen does not meet its internal thresholds or yield a timely return on its investment in OpRegen;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Roche may choose not to develop and commercialize OpRegen in certain, or any, markets or for one or more indications, if at all;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Roche may change the focus of its development or commercialization efforts or prioritize other programs and, accordingly, reduce the efforts and resources allocated to OpRegen;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Roche may be unable to obtain regulatory clearances or approvals to continue clinical development or commercialization of OpRegen in a timely manner, or at all;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failure to develop a formulation and/or manufacturing process for OpRegen that Roche believes is commercially viable in a timely manner, or at all;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loss or impairment of intellectual property rights related to OpRegen.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Roche terminates the collaboration: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would no longer have the right to receive any milestone payments or royalties thereunder;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 development of OpRegen, if any, would be significantly delayed or terminated;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would bear all risks and costs related to any further clinical development, manufacturing, regulatory approval and commercialization OpRegen, if any;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might determine that the commercial potential of OpRegen does not warrant further development of OpRegen;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would need to raise additional capital if we were to choose to pursue OpRegen development on our own, or we would need to establish alternative collaborations with third parties, which might not be possible in a timely manner, or at all;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were to choose to pursue OpRegen development independently, we would need to work collaboratively with Roche to transfer the OpRegen program back to us, and such a transfer might take significant amounts of time, would be resource intensive and costly, and might not be feasible;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it may adversely affect the interest of other third parties in pursuing strategic collaborations relating to our other product candidates or technology or the terms of any such potential collaboration.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loss or termination of rights under the collaboration will cause us to lose a significant source of potential revenue and could significantly delay or result in the discontinuation of development of OpRegen or significantly diminish the commercial potential of OpRegen, which would have a material and adverse effect on our company, financial condition and results of operations and could cause the market price of our common shares to decline.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may expend our limited resources to pursue particular product candidates and fail to capitalize on other product candidates that may be more profitable or for which there is a greater likelihood of success.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multiple cell therapy programs in development and limited resources. Our resource allocation decisions may cause us to fail to capitalize on viable commercial products or profitable market opportunities. Our spending on current and future research and development programs and product candidates may not yield any commercially viable products. If we do not accurately evaluate the clinical or commercial potential or target market for a particular product candidate, we may focus our resources on product candidates that do not demonstrate successful clinical results or commercial viability at the expense of other programs that may have had greater success, or relinquish valuable rights to that product candidate through future collaborations, licenses and other similar arrangements in cases in which it would have been more advantageous for us to retain sole development and commercialization rights to such product candidate.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If we fail to meet our obligations under our in-license agreements, we may lose our rights to key technologies on which our business depends.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depends on several critical technologies that are based in part on technology licensed from third parties. Those third-party license agreements impose obligations on us, including payment obligations and obligations to pursue development of commercial products under the licensed patents or technology. If a licensor believes that we have failed to meet our obligations under a license agreement, the licensor could seek to limit or terminate our license rights, which could lead to costly and time-consuming litigation and, potentially, a loss of the licensed rights. During the period of any such litigation, our ability to carry out the development and commercialization of potential products, and our ability to raise any capital that we might then need, could be significantly and negatively affected. If our license rights were restricted or ultimately lost, we would not be able to continue to use the licensed technology in our business. Our license agreements are discussed in more detail under “Licensed Technology and Product Development Agreements” in Item 1. "Business”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We may acquire or acquire rights to new technologies, product candidates and other assets or businesses, which could fail to result in a commercial product or net sales, divert our management’s attention, result in additional dilution to our shareholders or otherwise disrupt our business and adversely affect our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evaluate and consider strategic opportunities on an ongoing basis that we believe could complement or expand our portfolio, enhance our technical capabilities or otherwise offer growth opportunities. We may in the future acquire or acquire rights to develop and commercialize new technologies, product candidates and other assets or businesses or pursue joint ventures or investments in complementary businesses. However, we may not be able to successfully complete any in-license, acquisition or other strategic transaction we choose to pursue, and we may not successfully integrate any acquired or licensed technology, development program or business in a cost-effective and non-disruptive manner. The pursuit of these potential transactions may divert the attention of management and cause us to incur significant costs and expenses in identifying, investigating and pursuing suitable opportunities and transactions, even if we do not complete the transaction. We may not be able to identify desirable targets or be successful in entering into an agreement with any particular target. Furthermore, the anticipated benefits of any strategic transaction may not materialize.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not be able to successfully integrate any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We also face risk of shareholder lawsuits in connection with acquisitions that can divert management’s focus from operating our business and result in significant legal and other expenses, which could harm our operating results and financial condition. For example, in 2023, we settled a putative shareholder class action lawsuit relating to our acquisition of Asterias after more than three years of litigation. See Note 14 (Commitments and Contingencies) to our consolidated financial statements included in this report. In addition, if an acquired technology, product candidate or other asset or business fails to meet our expectations, our business, financial condition and results of operations may be negatively affected. Additional risks we may face in connection with acquisitions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diversion of management time and focus from operating our business to addressing acquisition and integration challenges;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integration of cGMP manufacturing operations from an acquired business or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retention of key employees from an acquired business or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relationships with other collaborators as a result of new program or product acquisitions or strategic positioning resulting from the acquisition;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need to implement or improve controls, procedures, and policies at the acquired business or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reporting, revenue recognition or other financial or control deficiencies of an acquired company that we don’t adequately address and that cause our reported results to be incorrect;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liability for activities of an acquired company before the acquisition, including intellectual property infringement claims, misappropriation or other violation, violations of laws, commercial disputes, tax liabilities and other known and unknown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unanticipated write-offs or charges;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litigation or other claims in connection with an acquired company, including claims from terminated employees, vendors, former shareholders or other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All of our manufacturing operations currently are conducted at our facility in Jerusalem, Israel. Accordingly, political and economic conditions in Israel and war, terrorist attacks or other armed conflicts involving Israel, such as the Israel-Hamas war that began in October 2023, could directly affect our business. Any event or condition that significantly disrupts our ordinary course of operations at our Jerusalem facility could harm our business and materially and adversely affect our financial condition and operating results.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collaborators, suppliers, CROs, other service providers, or other third parties on which we rely may experience interruptions to our operations, including the conduct of our research and development programs, clinical trials, and manufacturing operations, due to natural disasters, public health emergencies, such as the COVID-19 pandemic, geopolitical conflicts, political and economic instability, acts of terrorism, or hardware, software, telecommunication or electrical failures, which could significantly disrupt or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Currently, all of our cGMP manufacturing processes, including cell banking and product manufacturing for our cell therapy product candidates, are conducted by our subsidiary, Cell Cure, at its facility in Jerusalem, Israel, and more than two-thirds of our employees are Cell Cure employees who are based in the same facility. Accordingly, political and economic conditions in Israel and terrorist attacks, war or other armed conflicts involving Israel could directly affect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of safety concerns and in response to government-imposed restrictions on movement and travel and other precautions taken to address the Israel-Hamas war that began in October 2023, our operations at our Cell Cure facility in Jerusalem were temporarily impacted. Further, a number of our employees in Israel are members of the military reserves and subject to immediate call-up in response to the ongoing war. Israeli citizens are obligated to perform several days, and in some cases more, of annual military reserve duty each year until they reach the age of 40 (or older, for reservists who are military officers or who have certain occupations) and, in the event of a military conflict, may be called to active duty. A number of our employees in Israel, including Cell Cure’s chief executive officer, have been activated for military duty and additional employees may also be activated, which could disrupt our operations. In addition, the general impact on employees operating in a region at war could adversely impact our operations. Although we have business continuity plans in place to address medium- or long-term disruptions that could result from the war, any long-term closure of our Cell Cure facility, or if that facility were damaged, or if hostilities otherwise disrupt the ongoing operation of our facility or if a meaningful number of employees are unable to work for significant portions of time, our operations would be materially and adversely impacted. It is currently not possible to predict the scope, duration or severity of the ongoing war or its effects on our operations, financial condition or operating results. The ongoing war is rapidly evolving, and could materially adversely impact our business and operations, as well as the overall economy in Israel and the value of the New Israeli Shekel.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operations are vulnerable to significant disruption if a natural disaster, public health emergency, terrorist attack, war or other armed conflict, power outage or any other sudden, unforeseen and severe event or condition damages, destroys or otherwise prevents us from using, or disrupts normal operations at, our Cell Cure facility. For example, a natural disaster, explosion, fire or prolonged power outage could result in damage to or destruction of materials and equipment that are critical for our research and manufacturing operations, including our cell banks, or otherwise prevent us from conducting product testing or manufacturing sufficient clinical supplies, which would delay the advancement of our programs and materially harm our business, operating results, prospects, or financial condition. Our cell therapy product candidates are manufactured by starting with cells which are stored in the form of a master cell bank. While we have taken precautions to safeguard our cell banks from catastrophic events and we take precautions when transporting our cell banks, it is possible that we could lose one or more master cell banks and have our manufacturing severely impacted by the need to replace a cell bank. The disaster recovery and business continuity plans we currently have in place are limited and are unlikely to prove adequate in the event of a serious disaster or similar event. Any natural or manmade disaster affecting our Cell Cure facility or employees could materially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hostilities involving Israel or the interruption or curtailment of trade between Israel and its present trading partners, or a significant downturn in the economic or financial condition of Israel, could adversely affect our operations. The ongoing war, other ongoing and revived hostilities or other Israeli political or economic factors could harm our operations, product candidate development and results of operations. Although Israel has entered into various agreements with Egypt, Jordan, the Palestinian Authority and with various states in the Persian Gulf, there has been a continuous unrest and terrorist activity with varying levels of severity. In addition, Israel faces threats from more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distant neighbors, in particular, Iran and Iran-backed militia groups, which have heightened since the Israel-Hamas war began in October 2023. Our insurance policies do not cover us for the damages incurred in connection with these conflicts or for any resulting disruption in our operations. The Israeli government, as a matter of law, provides coverage for the reinstatement value of direct damages that are caused by terrorist attacks or acts of war; however, the government may cease providing such coverage or the coverage might not be enough to cover potential damages. In the event that hostilities disrupt the ongoing operation of our Jerusalem facility, our operations may be materially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Cell Cure is an Israeli company. Several countries, principally in the Middle East, still restrict doing business with Israel and Israeli companies. Since the Israel-Hamas war began, several other countries have suspended relations with Israel and additional countries may impose restrictions on doing business with Israel and Israeli companies, whether as a result of the ongoing war, other hostilities in the region or otherwise. In addition, there have been increased efforts by activists to cause companies, research institutions and consumers to boycott Israeli goods and cooperation with Israeli-related entities based on Israel’s military operations in Gaza and Israeli government policies. Such actions, particularly if they become more widespread, may adversely impact our ability to obtain supplies necessary to our manufacturing operations, cooperate with research institutions and collaborate with other third parties. Any hostilities involving Israel, any interruption or curtailment of trade or scientific cooperation between Israel and its present partners, or a significant downturn in the economic or financial condition of Israel could adversely affect our business, financial condition and results of operations. We may also be targeted by cyber terrorists specifically because Cell Cure is an Israeli-related company. See also the discussion in this Risk Factors section under “If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360" w:after="283"/>
        <w:jc w:val="both"/>
        <w:rPr>
          <w:rFonts w:ascii="Times New Roman" w:hAnsi="Times New Roman"/>
          <w:sz w:val="20"/>
        </w:rPr>
      </w:pPr>
      <w:r>
        <w:rPr>
          <w:rFonts w:ascii="Times New Roman" w:hAnsi="Times New Roman"/>
          <w:b/>
          <w:color w:val="000000"/>
          <w:sz w:val="20"/>
        </w:rPr>
        <w:t>Cell Cure has received Israeli government grants for certain of its research and development activities. The terms of these grants may require us to seek approvals and to satisfy specified conditions to manufacture products and transfer or license grant-supported technologies outside of Israel. In the context of such approvals, we will be required to pay penalties in addition to the repayment of the grants. Such grants are applied for on a yearly basis and may not be available or only partially granted in the future, which would increase our costs.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Cell Cure has received Israeli government grants for certain of its research and development activities, including grants under the Innovation Law. The terms of these grants require prior approval and the satisfaction of specified conditions to manufacture products and transfer or license technologies outside of Israel. See “Item 1. Business—Grants from Government Entities,” above. For example, the OpRegen program has been supported in part by the IIA through a series of separate research grants, beginning in 2007. As a result, and subject to the requirements of the Innovation Law, we paid the IIA approximately 24.1% of the upfront payment we received under the Roche Agreement, or approximately $12.1 million, and we are obligated to pay to the IIA approximately 24.1% of any milestone and royalty payments we may receive under the Roche Agreement, up to an aggregate cap on all payments to IIA, such cap growing over time via interest accrual until paid in full. As of December 31, 2023, the aggregate cap amount was approximately $93.2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restrictions under the Innovation Law may impair our ability to enter into any future agreements which involve IIA-funded products or know-how without the approval of IIA, or limit the economic benefit that we might derive under such agreements. We cannot be certain that any approval of IIA will be obtained on terms that are acceptable to us, or at all. We may not receive the required approvals should we wish to transfer or license IIA-funded know-how, manufacturing and/or development outside of Israel in the future. Furthermore, in the event that we undertake a transaction involving the transfer to a non-Israeli entity of know-how developed with IIA-funding pursuant to a merger or similar transaction, the consideration available to our shareholders may be significantly reduced by the amounts we are required to pay to the IIA. Any approval, if given, will generally be subject to additional financial obligations. Failure to comply with the requirements under the Innovation Law may subject Cell Cure to mandatory repayment of grants received by it (together with interest and penalties), as well as expose its directors and management to criminal proceedings. In addition, the IIA may from time-to-time conduct royalty audits. Further grants may not be approved or reduced in the future, which would increase our costs. IIA approval is not required for the marketing or distribution of products resulting from the IIA-funded research or development in the ordinary course of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have relied on grant funding from CIRM to support clinical development of OPC1 and we may not be able to obtain additional CIRM funding, which could negatively impact our ability to advance clinical development of OPC1, as well as our operating results and financial condition. In addition, our profits from the sale of products resulting from CIRM-funded development, if any, will be reduced by amounts that we are required to pay CIRM.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clinical development of OPC1 has been supported by $14.3 million of funding as of the date of this report from CIRM, a state agency established to fund stem cell research and development of new stem cell-based treatments. In February 2024, following FDA clearance of our IND amendment for OPC1, we applied for clinical program (CLIN2) funding from CIRM to support the DOSED clinical study. Subsequently, in February 2024, CIRM’s governing board determined to postpone acceptance of new CLIN1 and CLIN2 applications submitted after January 31, 2024 until after the governing board’s June 2024 meeting, at which time the governing board will re-evaluate the temporary action and CIRM’s progress towards addressing the review and budgetary constraints that led to the postponement. The governing board’s meeting currently is scheduled for June 27, 2024. As a result of the postponement, we will have to resubmit our application and we do not expect CIRM will even begin to review our application until later this year. And, CIRM’s governing board may determine to extend the postponement, including because CIRM’s governing board may determine that CIRM’s 2023/2024 fiscal year budget for CLIN1 and CLIN2 programs will be depleted by funding granted to applications submitted on or before January 31, 2024. We cannot provide any assurance that CIRM will accept our CLIN2 application for review or that CIRM will award us any additional funding for the OPC1 program. In addition, if our application is accepted and approved in the future, any funding we receive from CIRM may not be applied toward expenses incurred for the DOSED clinical study prior to CIRM’s approval of our application. If we are unable to timely obtain another CIRM grant or if the grant funding is insufficient, the timeline for the conduct of the DOSED clinical study may be adversely affected or we may be unable to complete the study. We may need to raise funds through other mechanisms to continue clinical development of OPC1, which could have a higher cost of capital, cause dilution to our shareholders, restrict our operations or require us to relinquish rights on unfavorable terms.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terms of our grant award from CIRM require, and we expect the terms of any future grant from CIRM will require, royalty payments to CIRM based on sales of products developed with CIRM funding, if any, which will reduce our profits on sales of such products. See Item 1. “Business—Grants from Government Entities,” above for additional information.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international business exposes us to business, regulatory, political, operational, financial and economic risks associated with doing business outside of the United States.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Cell Cure is our 94% owned subsidiary located in Jerusalem, Israel. Currently, all of our cGMP manufacturing processes, including cell banking and product manufacturing for our cell therapy product candidates, are conducted by Cell Cure at its Jerusalem facility. A portion of our OpRegen Phase 1/2a clinical trial has been conducted at sites in Israel. Conducting operations internationally involves a number of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difficulty in staffing and managing foreign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by us to obtain the appropriate regulatory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logistics and regulations associated with shipping drug product or patient samples, including infrastructure conditions and transportation delays;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risks, such as longer payment cycles and exposure to foreign currency exchange rate fluctuations;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subject to tax on Global Intangible Low Tax Income earned by foreign subsidiaries;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political and economic instability, including wars, terrorism, and political unrest, inter-governmental disputes, outbreak of disease, boycotts, curtailment of trade and other business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multiple, conflicting and changing laws and regulations such as tax laws, export and import restrictions, labor and employment laws, data and privacy laws, regulatory requirements and other governmental approvals, permits and licenses;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and compliance risks that may fall within the purview of the U.S. Foreign Corrupt Practices Act, UK Bribery Act, anti-boycott laws and other anti-corruption laws.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factors could significantly harm our international operations and, consequently, our results of operations. In addition, any failure to comply with applicable legal and regulatory obligations could impact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clinical trial activities. Further, the ongoing Israel-Hamas war may have the effect of heightening many of the risks and uncertainties of conducting significant aspects of our operations outside of the United States and, in particular, in Israel.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success internationally will depend, in part, on our ability to develop and implement policies and strategies that are effective in anticipating and managing these and other risks, particularly in Israel. Failure to manage these and other risks may have a material adverse effect on our operations in Israel and on our business as a whole.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business could be materially and adversely affected in the future by the effects of a public health crisis.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Disease outbreaks, epidemics and pandemics, particularly in regions where our product candidates are manufactured or where clinical trial sites or other business operations are concentrated, could adversely affect our business, including by causing significant disruptions in our operations and/or in the operations of third parties upon whom we rely, including strategic collaborators, clinical trial sites, CROs, suppliers and other vendors. A public health crisis may have negative impacts on our ability, or that of a strategic collaborator, to initiate new clinical trial sites, enroll new patients and to maintain existing patients who are participating in clinical trials, which may result in increased clinical trial costs, longer timelines and delay in our ability, or that of a strategic collaborator, to obtain regulatory approvals of our product candidates, if at all. For example, the COVID-19 pandemic and actions taken to reduce its spread disrupted our normal course of business operations and negatively affected clinical trials of our product candidates. In particular, patient enrollment was delayed in our OpRegen Phase 1/2a clinical trial and the VAC2 Phase 1 clinical trial conducted by Cancer Research UK. Clinical trial sites paused enrollment to focus on, and direct resources to, the COVID-19 pandemic, to adhere to national or local guidelines restricting non-essential operations and gatherings, or in the interest of patient safety. Additionally, some enrolled patients in those trials decided not to participate in follow-up visits on schedule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extent to which a future public health crisis may impact our business, results of operations and financial condition is highly uncertain, cannot be predicted with confidence and will depend on, among other factors, the duration and severity of the disease outbreak, epidemic or pandemic and government actions taken in response. Potential disruptions might include, but are not limited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delays or difficulties in clinical trial site initiation, including difficulties in recruiting clinical site investigators and staff,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or difficulties in enrolling patients or conducting follow-up visits with patients in clinical trials of our product candidates, particularly patients who may be at higher risk of complications from the infection or other health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increased rates of patients withdrawing from our clinical trials following enrollment as a result of contracting the infection or other health conditions or being forced to quarantine;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diversion of healthcare resources away from the conduct of clinical trials, including at hospitals or other facilities serving as our clinical trial sites;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interruption of key clinical trial activities, such as clinical trial site monitoring, due to limitations on travel;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limitations on employee or other resources that would otherwise be focused on the conduct of clinical trials of our product candidates and preclinical work, including because of sickness of employees or their families, the desire of employees to avoid travel or contact with large groups of people, school closures or mass transit disruptions;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delays and difficulties for us and our suppliers of raw materials caused by business closures, operational restrictions or labor shortages;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clinical trial sites receiving the supplies and materials needed to conduct clinical trials of our product candidates, including interruption in global shipping that may affect the transport of clinical trial materials and supplies;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local regulations as part of a response to public health crisis which may require us or a strategic collaborator to change the ways in which clinical trials of our product candidates are conducted, which may result in unexpected costs, or cause us or our collaborators to discontinue the clinical trials altogether;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interruption or delays in the operations of the FDA or other regulatory authorities, including with respect to their manufacturing or clinical trial site inspections, which may impact their ability to timely review and process any submissions we or our collaborators file;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 that participants enrolled in our clinical trials will contract the infection or other health conditions while the clinical trial is ongoing, which could impact the results of the clinical trial, including by increasing the number of observed adverse events;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refusal of the FDA to accept data from clinical trials in affected geographies.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the extent any disease outbreak, epidemic or pandemic adversely affects our business, financial condition or results of operations, it may also have the effect of heightening many of the other risks and uncertainties described in this ‘‘Risk Factors’’ section.</w:t>
      </w:r>
    </w:p>
    <w:p>
      <w:pPr>
        <w:pStyle w:val="TextBody"/>
        <w:bidi w:val="0"/>
        <w:spacing w:before="360" w:after="283"/>
        <w:jc w:val="both"/>
        <w:rPr>
          <w:rFonts w:ascii="Times New Roman" w:hAnsi="Times New Roman"/>
          <w:sz w:val="20"/>
        </w:rPr>
      </w:pPr>
      <w:r>
        <w:rPr>
          <w:rFonts w:ascii="Times New Roman" w:hAnsi="Times New Roman"/>
          <w:b/>
          <w:color w:val="000000"/>
          <w:sz w:val="20"/>
        </w:rPr>
        <w:t>Our business could be adversely affected if we lose the services of the key personnel upon whom we depend or if we fail to attract and retain senior management and key scientific personnel.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our continued success depends to a significant extent upon our efforts and ability to retain highly qualified personnel, including our Chief Executive Officer. All of our officers and other employees are at-will employees and may terminate their employment with us at any time with no advance notice. The loss of the services of Mr. Culley or other members of our senior management could have a material adverse effect on us. Further, the replacement of any of such individuals would likely involve significant time and costs and may significantly delay or prevent the achievement of our business and clinical objectives and would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could experience difficulties attracting qualified employees in the future. For example, competition for qualified personnel in the biotechnology and medical device field is intense due to the limited number of individuals who possess the skills and experience required by our industry. We will need to hire additional personnel as we expand our business, including our clinical development activities. We may not be able to attract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pStyle w:val="TextBody"/>
        <w:bidi w:val="0"/>
        <w:spacing w:before="360" w:after="283"/>
        <w:jc w:val="both"/>
        <w:rPr>
          <w:rFonts w:ascii="Times New Roman" w:hAnsi="Times New Roman"/>
          <w:sz w:val="20"/>
        </w:rPr>
      </w:pPr>
      <w:r>
        <w:rPr>
          <w:rFonts w:ascii="Times New Roman" w:hAnsi="Times New Roman"/>
          <w:b/>
          <w:color w:val="000000"/>
          <w:sz w:val="20"/>
        </w:rPr>
        <w:t>Changes in tax laws or regulations that are applied adversely to us or our customers may have a material adverse effect on our business, cash flow, financial condition or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Biden administration and Congress have proposed various U.S. federal tax law changes, which if enacted could have a material impact on our business, cash flow, financial condition or results of operations. In addition, it is uncertain if and to what extent various states will conform to the federal tax laws. Future tax reform legislation could have a material impact on the value of our deferred tax assets, could result in significant one-time charges, and could increase our future U.S. tax expense.</w:t>
      </w:r>
    </w:p>
    <w:p>
      <w:pPr>
        <w:pStyle w:val="TextBody"/>
        <w:bidi w:val="0"/>
        <w:spacing w:before="360" w:after="283"/>
        <w:jc w:val="both"/>
        <w:rPr>
          <w:rFonts w:ascii="Times New Roman" w:hAnsi="Times New Roman"/>
          <w:sz w:val="20"/>
        </w:rPr>
      </w:pPr>
      <w:r>
        <w:rPr>
          <w:rFonts w:ascii="Times New Roman" w:hAnsi="Times New Roman"/>
          <w:b/>
          <w:color w:val="000000"/>
          <w:sz w:val="20"/>
        </w:rPr>
        <w:t>Our ability to use net operating losses and other tax attributes to offset future taxable income or taxes may be subject to limitations</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2023, we had substantial net operating loss (“NOL”) carryforwards for U.S. federal and state tax purposes and other tax attributes to offset future taxable income. However, our federal NOL carryforwards and other tax attributes may not be available to offset future taxable income because of restrictions under U.S. tax law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and similar limitations that may apply under state tax laws. A portion of our federal and state NOL carryforwards will begin to expire, if not utilized, in varying amounts between 2030 and 2042. Our federal research and development tax credit carryforwards expire in varying amounts between 2023 and 2043, the California research and development tax credit carryforwards have no expiration date. See Note 13 (Income Taxes) to our consolidated financial statements included in this report for additional information. NOL carryforwards and research and development and other tax credits that expire unused will be unavailable to offset future income tax liabilities. Under federal income tax law, federal NOL carryforwards generated in tax years beginning after December 31, 2017, may be carried forward indefinitely, but the deductibility of such NOL carryforwards is limited to 80% of taxable income. It is uncertain if and to what extent various states that we may operate in will conform to the federal tax law. In addition, under Sections 382 and 383 of the Internal Revenue Code of 1986, as amended (the “IRC”),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We have experienced ownership changes in the past and we may experience ownership changes in the future as a result of subsequent shifts in our stock ownership, some of which may be outside of our control. As a result, our ability to use our pre-change NOL carryforwards and tax credits to offset post-change taxable income, if any, could be subject to significant limitations. Similar provisions of state tax law may also apply. In addition, at the state level, there may be periods during which the use of NOL carryforwards is suspended or otherwise limited, which could accelerate or permanently increase state taxes owed. As a result of limitations on our ability to use our NOL carryforwards and tax credits, we may be unable to gain the benefit of a material portion of our NOL carryforwards and tax credits, which could harm our future operating results by effectively increasing our future income tax obligations.</w:t>
      </w:r>
    </w:p>
    <w:p>
      <w:pPr>
        <w:pStyle w:val="TextBody"/>
        <w:bidi w:val="0"/>
        <w:spacing w:before="360" w:after="283"/>
        <w:jc w:val="both"/>
        <w:rPr>
          <w:rFonts w:ascii="Times New Roman" w:hAnsi="Times New Roman"/>
          <w:sz w:val="20"/>
        </w:rPr>
      </w:pPr>
      <w:r>
        <w:rPr>
          <w:rFonts w:ascii="Times New Roman" w:hAnsi="Times New Roman"/>
          <w:b/>
          <w:color w:val="000000"/>
          <w:sz w:val="20"/>
        </w:rPr>
        <w:t>Taxing authorities could reallocate our taxable income among our subsidiaries, which could increase our overall tax liability.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organized in the United States, and currently have subsidiaries in Israel and Singapore. If we succeed in growing our business, we expect to conduct increased operations through subsidiaries in various tax jurisdictions pursuant to transfer pricing arrangements between us and our subsidiaries. If two or more affiliated companies are located in different countries, the tax laws or regulations of each country generally will require that such arrangements be priced the same as those between unrelated companies dealing at arm’s length and that appropriate documentation is maintained to support the value of such arrangements. Our transfer pricing policies were formulated with the assistance of third-party experts; however, tax authorities in any country may disagree with our transfer pricing policies and procedures. If tax authorities in any of these countries were to successfully challenge our transfer prices as not reflecting arm’s length transactions, they could require us to adjust our transfer prices and thereby reallocate our income to reflect these revised transfer prices, which could result in a higher tax liability to us. In addition, if the country from which the income is reallocated does not agree with the reallocation, both countries could tax the same income, resulting in double taxation. If tax authorities were to allocate income to a higher tax jurisdiction, subject our income to double taxation or assess interest and penalties, particularly in relation to our subsidiary Cell Cure, it would increase our tax liability, which could adversely affect our financial condition, results of operations and cash flows.</w:t>
      </w:r>
    </w:p>
    <w:p>
      <w:pPr>
        <w:pStyle w:val="TextBody"/>
        <w:bidi w:val="0"/>
        <w:spacing w:before="360" w:after="283"/>
        <w:jc w:val="both"/>
        <w:rPr>
          <w:rFonts w:ascii="Times New Roman" w:hAnsi="Times New Roman"/>
          <w:sz w:val="20"/>
        </w:rPr>
      </w:pPr>
      <w:r>
        <w:rPr>
          <w:rFonts w:ascii="Times New Roman" w:hAnsi="Times New Roman"/>
          <w:b/>
          <w:color w:val="000000"/>
          <w:sz w:val="20"/>
        </w:rPr>
        <w:t>Because a portion of our expenses are incurred in currencies other than the U.S. Dollar, our results of operations may be harmed by currency fluctuations.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reporting and functional currency is the United States Dollar, but a material portion of our research and development and other operating expenses are incurred in Israeli New Shekels through our subsidiary Cell Cure. As a result, we are exposed to some currency fluctuation risks. Fluctuation in the exchange rate of the foreign currency has an influence on and may adversely affect our comprehensive loss and cash flows.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An extended curtailment or halt of operations at the FDA, SEC and other government agencies, including due to a U.S. federal government shutdown, could delay or disrupt clinical and preclinical development and potential marketing approval of our product candidates and our ability to raise additional 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Twice in the past decade, the previous appropriations legislation deadline was reached and Congress failed to pass a new appropriations bill or continuing resolution to temporarily extend funding, resulting in U.S. government shutdowns that caused federal agencies to halt non-essential operations. The federal government came very close to another shutdown in late 2023. Political polarization among lawmakers may lead to a higher frequency and longer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duration of government shutdowns in the future. A federal government shutdown could prevent staff at federal agencies from performing key functions that may adversely affect our business. For example, disruptions at the FDA may delay meetings and other communications with agency staff necessary to progress development of our product candidates and may slow the time necessary for acceptance, review and approval of applications to commence clinical studies or to market a new product in the U.S. In addition, a government shutdown could prevent SEC staff from performing key functions, including, for example, granting acceleration requests for registration statements, declaring registration statements or amendments thereto effective and providing interpretive guidance or no-action letters. While we currently have an effective shelf registration statement on Form S-3, a shelf registration statement on Form S-3 typically can only be used for three years, subject to a limited extension, and that three-year period for our current shelf S-3 registration statement ends on March 19, 2024. If a federal government shutdown halts non-essential SEC operations for an extended period, it may negatively impact our ability to raise additional capital through registered offerings of our securities in the future. If a prolonged U.S. government shutdown or other event or condition occurs that prevents the FDA, SEC or other regulatory agencies from hiring and retaining personnel and conducting their regular activities, it could significantly impact the ability of these agencies to timely review and process our regulatory submissions and may impede our access to additional capital needed to maintain or expand our operations or to complete important acquisitions or other transactions, which could have a material adverse effect on our business.</w:t>
      </w:r>
    </w:p>
    <w:p>
      <w:pPr>
        <w:pStyle w:val="TextBody"/>
        <w:bidi w:val="0"/>
        <w:spacing w:before="360" w:after="283"/>
        <w:jc w:val="center"/>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We may be subject, directly or indirectly, to federal and state healthcare fraud and abuse laws, including anti-kickback and false claims laws, transparency laws, and health information privacy and security laws. If we are unable to comply, or have not fully complied, with such laws, we could face substantial penalties.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current and future operations may be subject to various federal and state fraud and abuse laws, including, without limitation, the federal Anti-Kickback Statute, the federal False Claims Act, and healthcare professional transparency laws and regulations. These laws may impact, among other things, our research activities and our proposed sales, marketing, and education programs. In addition, we may be subject to patient privacy regulation by both the federal government and the states in which we conduct our business. The laws that may affect our ability to operate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Anti-Kickback Statute, which prohibits, among other things, persons and entities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civil and criminal false claims laws, including the federal False Claims Act, and civil monetary penalty laws, which prohibit, among other things, individuals or entities from knowingly presenting, or causing to be presented, claims for payment from Medicare, Medicaid, or other third-party payors that are false or fraudulent;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HIPAA, which created new federal criminal statutes that prohibit, among other things, executing a scheme to defraud any healthcare benefit program and making false statements relating to healthcare matters;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HIPAA, as amended by HITECH and their implementing regulations, which imposes certain requirements on “covered entities,” including certain healthcare providers, health plans, and healthcare clearinghouses, as well as their respective “business associates” that create, receive, maintain or transmit individually identifiable health information for or on behalf of a covered entity, and their subcontractors that use, disclose, access, or otherwise process individually identifiable protected health information, relating to the privacy, security, and transmission of individually identifiable health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Physician Payments Sunshine Act, which requires manufacturers of drugs, devices, biologics, and medical supplies for which payment is available under Medicare, Medicaid or the Children’s Health Insurance Program (with certain exceptions) to report annually to the CMS, information related to payments and other transfers of value to physicians (defined to include doctors, dentists, optometrists, podiatrists, and chiropractors), certain other healthcare professionals (such as physician assistants and nurse practitioners), and teaching hospitals, and ownership and investment interests held by physicians and their immediate family members and applicable group purchasing organizations;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state law equivalents of each of the above federal laws, such as anti-kickback and false claims laws that may apply to items or services reimbursed by any third-party payors, including commercial insurers, state laws that require pharmaceutical companies to comply with the pharmaceutical industry’s voluntary compliance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marketing expenditures, or drug pricing, state and local laws that require the registration of pharmaceutical sales representatives, and state laws governing the privacy and security of health information in certain circumstances, many of which differ from each other in significant ways and may not have the same effect, thus complicating compliance efforts.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the breadth of these laws and the narrowness of the statutory exceptions and regulatory safe harbors available, it is possible that some of our business activities could be subject to challenge under one or more of such laws. In addition, recent healthcare reform legislation has strengthened these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operations are found to be in violation of any of the laws described above or any other governmental regulations that apply, we may be subject to significant penalties, including administrative, civil and criminal penalties, damages, fines, disgorgement, exclusion from participation in government healthcare programs, such as Medicare and Medicaid, integrity oversight and reporting obligations, imprisonment, and the curtailment or restructuring of our operations, any of which could adversely affect our ability to operate our business and our results of operations.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If we or our strategic collaborators do not receive regulatory approvals, our product candidates may not be marketed or sold.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investigational cell therapies cannot be marketed or sold until the FDA and corresponding foreign regulatory authorities approve the products for the human medical applications for which they are being developed. In addition, the regulatory approval process for novel product candidates such as ours can be more complex and consequently more expensive and take longer than for other, better known or extensively studied pharmaceutical or other product candidates. The need to obtain regulatory approval to market a new product means that: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collaborators will have to conduct expensive and time-consuming clinical trials of new products. The full cost of conducting and completing clinical trials necessary to obtain FDA and foreign regulatory approval of a new product cannot be presently determined but could exceed our current financial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trials and the regulatory approval process for a pharmaceutical or cell-based product can take several years to complete. As a result, we or our collaborators will incur the expense and delay inherent in seeking FDA and foreign regulatory approval of new products, even if the results of clinical trials are favorable.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Data obtained from preclinical and clinical studies is susceptible to varying interpretations and regulatory changes that could delay, limit, or prevent regulatory agency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our cell therapy candidates involve the application of new technologies and approaches to medicine, the FDA or foreign regulatory agencies may subject those products to additional or more stringent review than drugs or biologics derived from other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product that is approved may be subject to restrictions on use.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can recall or withdraw approval of a product, if it deems necessary.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collaborators will face similar regulatory issues in foreign countries.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Government-imposed bans or restrictions and religious, moral, and ethical concerns about the use of hES cells could prevent us from developing and successfully marketing stem cell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Government-imposed bans or restrictions on the use of embryos or hES cells in research and development in the United States and abroad could generally constrain stem cell research, thereby limiting the market and demand for our products. During March 2009, the federal government, pursuant to a presidential executive order, lifted certain restrictions on federal funding of research involving the use of hES cells, and in accordance with the executive order, the NIH has adopted guidelines for determining the eligibility of hES cell lines for use in federally funded research. The central focus of the guidelines is to assure that hES cells used in federally funded research were derived from human embryos that were created for reproductive purposes, were no longer needed for this purpose, and were voluntarily donated for research purposes with the informed written consent of the donors. The hES cells that were derived from embryos created for research purposes rather than reproductive purposes, and other hES cells that were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derived in compliance with the guidelines, are not eligible for use in federally funded research. California law requires that stem cell research be conducted under the oversight of a SCRO Committee. Many kinds of stem cell research, including the derivation of new hES cell lines, may only be conducted in California with the prior written approval of the SCRO Committee. A SCRO Committee could prohibit or impose restrictions on the research that we plan to do. The use of hES cells may give rise to religious, moral, and ethical issues. These considerations could lead to more restrictive government regulations or could generally constrain stem cell research, thereby limiting the market and demand for our products.</w:t>
      </w:r>
    </w:p>
    <w:p>
      <w:pPr>
        <w:pStyle w:val="TextBody"/>
        <w:bidi w:val="0"/>
        <w:spacing w:before="360" w:after="283"/>
        <w:jc w:val="both"/>
        <w:rPr>
          <w:rFonts w:ascii="Times New Roman" w:hAnsi="Times New Roman"/>
          <w:sz w:val="20"/>
        </w:rPr>
      </w:pPr>
      <w:r>
        <w:rPr>
          <w:rFonts w:ascii="Times New Roman" w:hAnsi="Times New Roman"/>
          <w:b/>
          <w:color w:val="000000"/>
          <w:sz w:val="20"/>
        </w:rPr>
        <w:t>Some of our product candidates, may be considered combination products by the FDA and other regulatory authorities, which could increase the complexity, cost and timeline for their development and regulatory approval.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the extent our product candidates meet the FDA’s or other regulatory authority’s definition of a combination product, the regulatory approval requirements can be more complex because in addition to the individual regulatory requirements for each component, e.g., a biologic and a medical device, additional combination product regulatory requirements may apply. The cost and timeline for development of any of our cell therapy product candidates determined to be a combination product may be substantially greater than that of other product candidates.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expect that the commercial opportunity for some of our products may depend on our ability, or that of a commercial collaborator, to obtain and maintain reimbursement and continued coverage from various payors, including government agencies and insurance companies.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these third-party payors do not consider our products to be cost-effective compared to other therapies, they may not cover our products as a benefit under their plans or, if they do, the level of payment may not be sufficient to allow us to sell our products on a profitable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in the United States, healthcare providers are reimbursed for covered services and products they deliver through Medicare, Medicaid and other government healthcare programs, as well as through private payers. No uniform policy for coverage and reimbursement exists in the United States, and coverage and reimbursement can differ significantly from payor to payor. Decisions regarding whether to cover any of our product candidates, if approved, the extent of coverage and amount of reimbursement to be provided are made on a plan-by-plan basis. 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We may be required to provide specified rebates or discounts on the products we sell to certain government funded programs, including Medicare and Medicaid, and those rebates or discounts have increased over time. The Patient Protection and Affordable Care Act, as amended by the Healthcare and Education Reconciliation Act (collectively, the “ACA”), enacted in 2010, increased many of the mandatory discounts and rebates and imposed a new branded prescription pharmaceutical manufacturers and importers fee payable each year by certain manufacturers.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Further, coverage policies and third-party payor reimbursement rates may change at any time. Therefore, even if favorable coverage and reimbursement status is attained, less favorable coverage policies and reimbursement rates may be implemented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face similar issues outside of the United States.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pharmaceutical products will allow favorable reimbursement and pricing arrangements for any of our products. Historically, products launched in the EU do not follow price structures of the United States and generally tend to be significantly lower.</w:t>
      </w:r>
    </w:p>
    <w:p>
      <w:pPr>
        <w:pStyle w:val="TextBody"/>
        <w:bidi w:val="0"/>
        <w:spacing w:before="360" w:after="283"/>
        <w:jc w:val="both"/>
        <w:rPr>
          <w:rFonts w:ascii="Times New Roman" w:hAnsi="Times New Roman"/>
          <w:sz w:val="20"/>
        </w:rPr>
      </w:pPr>
      <w:r>
        <w:rPr>
          <w:rFonts w:ascii="Times New Roman" w:hAnsi="Times New Roman"/>
          <w:b/>
          <w:color w:val="000000"/>
          <w:sz w:val="20"/>
        </w:rPr>
        <w:t>Legislation and legislative, executive and regulatory proposals intended to contain health care costs may adversely affect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has been heightened governmental scrutiny in the United States of pharmaceutical pricing practices in light of the rising cost of prescription drugs and biologics. As an example,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Further, the Biden administration released an additional executive order on October 14, 2022, the U.S. Department of Health &amp; Human Services to submit a report within 90 days on how the Center for Medicare and Medicaid Innovation can be further leveraged to test new models for lowering drug costs for Medicare and Medicaid beneficiaries. It is unclear whether this executive order or similar policy initiatives will be implemented in the future. Further, on December 7, 2023, the Biden administration announced an initiative to control the price of prescription drugs through the use of march-in rights under the Bayh-Dole Act of 1980.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The impact of these legislative, executive, and administrative actions and any future healthcare measures and agency rules implemented on the pharmaceutical industry as a whole is unclear. The implementation of cost containment measures, including the prescription drug provisions under the Inflation Reduction Act, as well as other healthcare reforms may prevent us from being able to generate revenue, attain profitability, or commercialize our product candidates if approved.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Disruptions at the FDA and other government agencies caused by funding shortages or other events or conditions outside of their control could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of the FDA to review and approve proposed clinical trials or new product candidates can be affected by a variety of factors, including, but not limited to, government budget and funding levels, ability to hire and retain key personnel and accept the payment of user fees, statutory, regulatory, and policy changes,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Disruptions at the FDA and other agencies may also slow the time necessary for new product candidates to be reviewed and/or approved by necessary government agencies, which would adversely affect our business. For example, as a result of the COVID-19 pandemic, the FDA’s inspectional activities were interrupted and restarted on a risk-based basis, which had the effect of delaying review and potential approval of product candidate marketing applications. In addition, over the last several years, including for 35 days beginning on December 22, 2018, the U.S. government has shut down several times and certain regulatory agencies, such as the FDA, have had to furlough critical FDA employees and stop various activities.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The ACA and future changes to that law may adversely affect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result of the adoption of the ACA, in the United States, substantial changes have been made to the system for paying for healthcare in the United States. Among the ACA’s provisions of importance to our industry are that it: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created the branded prescription pharmaceutical manufacturers and importers annual fee;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increased the statutory minimum rebates a manufacturer must pay under the Medicaid Drug Rebate Program, to 23.1% and 13% of the average manufacturer price for most branded and generic drugs, respectively and capped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total rebate amount for innovator drugs at 100% of the Average Manufacturer Price. However, on March 11, 2021, President Biden signed the American Rescue Plan Act of 2021 into law, which eliminates the statutory Medicaid drug rebate cap for single source and innovator multiple source drugs, beginning January 1, 2024;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created new methodology by which rebates owed by manufacturers under the Medicaid Drug Rebate Program are calculated for certain drugs and biologics that are inhaled, infused, instilled, implanted or injected;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extended manufacturers’ Medicaid rebate liability to covered drugs dispensed to individuals who are enrolled in Medicaid managed care organizations;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expanded the entities eligible for discounts under the Public Health program;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created a new Patient-Centered Outcomes Research Institute to oversee, identify priorities in, and conduct comparative clinical effectiveness research, along with funding for such research;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established a Center for Medicare &amp; Medicaid Innovation at CMS to test innovative payment and service delivery models to lower Medicare and Medicaid spending, potentially including prescription drug spending;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created a licensure framework for follow on biologic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have been executive, judicial and Congressional challenges to certain aspects of the ACA. While Congress has not passed comprehensive repeal legislation, it has enacted laws that modify certain provisions of the ACA such as removing penalties for not complying with the ACA’s individual mandate to carry health insurance, and eliminating the implementation of certain ACA-mandated fees. In June 2021, the United States Supreme Court dismissed a challenge on procedural grounds that argued the ACA is unconstitutional in its entirety because the “individual mandate” was repealed by Congress. Thus, the ACA will remain in effect in its current form. Moreover, prior to the United States Supreme Court ruling, in January 2021, President Biden issued an executive order that, among other things,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any such challenges, other litigation, and the healthcare reform measures of the Biden administration will impact the ACA.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other legislative changes have been proposed and adopted since the ACA was enacted. For example, the Budget Control Act of 2011, includes reductions to Medicare payments to providers of 2% per fiscal year, which went into effect on April 1, 2013 and, due to subsequent legislative amendments to the statute, will remain in effect through 2031, with the exception of a temporary suspension from May 1, 2020 through March 31, 2022, unless additional Congressional action is taken. Under current legislation, the actual reduction in Medicare payments will vary from 1% in 2022 to up to 3% in the final fiscal year of this sequester.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Additionally, Congress is considering additional health reform measures.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there has been heightened governmental scrutiny in the United States of pharmaceutical pricing practices in light of the rising cost of prescription drugs and biologics. Such scrutiny has resulted in several recent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 used several means to propose or implement drug pricing reform, including through federal budget proposals, executive orders and policy initiatives. For example, in 2020 the Trump administration announced several executive orders related to prescription drug pricing that attempted to implement several of the administration’s proposals. As a result, the FDA concurrently released a final rule and guidance in September 2020, providing pathways for states to build and submit importation plans for drugs from Canada. Further,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2020, the U.S. Department of Health &amp; Human Services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until 2032 by the Inflation Reduction Act of 2022. The rule also creates a new safe harbor for price reductions reflected at the point-of-sale, as well as a new safe harbor for certain fixed fee arrangements between pharmacy benefit managers and manufacturers, the implementation of which has been delayed until 2032 by the Inflation Reduction Act of 2022. On November 20, 2020, CMS issued an interim final rule implementing President Trump’s Most Favored Nation executive order, which would tie Medicare Part B payments for certain physician-administered drugs to the lowest price paid in other economically advanced countries. The Most Favored Nation regulations mandate participation by identified Medicare Part B providers and will apply in all U.S. states and territories for a seven-year period beginning January 1, 2021, and ending December 31, 2027. As a result of litigation challenging the Most Favored Nation model, in December 2021, CMS published a final rule that rescinds the Most Favored Nation model interim final rule. Further, in July 2021, the Biden administration released an executive order that included multiple provisions aimed at prescription drugs. In response to President Biden’s executive order, in September 2021, the HHS released a Comprehensive Plan for Addressing High Drug Prices that outlines principles for drug pricing reform. The plan sets out a variety of potential legislative policies that Congress could pursue as well as potential administrative actions HHS can take to advance these principles. No legislation or administrative actions have been finalized to implement these principles. Additionally, based on a recent executive order, the Biden administration expressed its intent to pursue certain policy initiatives to reduce drug prices.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it is possible that additional governmental action is taken in response to the COVID-19 pandemic.</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If we fail to comply with the extensive legal and regulatory requirements affecting the healthcare industry, we could face increased costs, penalties and loss of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activities, and the activities of our collaborators, distributors and other third-party providers, are subject to extensive government regulation and oversight both in the U.S. and in foreign jurisdictions. The FDA and comparable agencies in other jurisdictions will directly regulate many of our most critical business activities, including the conduct of preclinical and clinical studies, product manufacturing, future advertising and promotion, product distribution, adverse event reporting and product risk management. Our current and future interactions in the U.S. or abroad with physicians and other healthcare providers that may prescribe or purchase our products once commercialized are also subject to government regulation designed to prevent fraud and abuse in the sale and use of the products and place greater restrictions on the marketing practices of healthcare companies. Healthcare companies are facing heightened scrutiny of their relationships with healthcare providers from anti-corruption enforcement officials. In addition, healthcare companies have been the target of lawsuits and investigations alleging violations of government regulation, including claims asserting submission of incorrect pricing information, impermissible off-label promotion of pharmaceutical products, payments intended to influence the referral of healthcare business, submission of false claims for government reimbursement, antitrust violations or violations related to environmental matters. Risks relating to compliance with laws and regulations may be heightened as we bring products to the market globally.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Regulations governing the healthcare industry are subject to change, with possibly retroactive effect,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new laws, regulations or judicial decisions, or new interpretations of existing laws, regulations or decisions, related to healthcare availability, pricing or marketing practices, compliance with wage and hour laws and other employment practices, method of delivery, payment for healthcare products and services, compliance with health information and data privacy and security laws and regulations, tracking and reporting payments and other transfers of value made to physicians and teaching hospitals, extensive anti-bribery and anti-corruption prohibitions, product serialization and labeling requirements and used product take-back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FDA and foreign regulatory approval processes that may delay or prevent the approval of new products and result in lost market opportunity;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requirements that provide for increased transparency of clinical trial results and quality data, such as the EMA’s clinical transparency policy, which could impact our ability to protect trade secrets and competitively sensitive information contained in approval applications or could be misinterpreted leading to reputational damage, misperception or legal action which could harm our business;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Violations of governmental regulation may be punishable by criminal and civil sanctions against us, including fines and civil monetary penalties and exclusion from participation in government programs, including Medicare and Medicaid, as well as against executives overseeing our business. In addition to penalties for violation of laws and regulations, we could be required to repay amounts we received from government payors or pay additional rebates and interest if we are found to have miscalculated the pricing information we have submitted to the government.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Even if we receive approval to market a product candidate, we may be subject to extensive post-approval regulatory obligations that may have a significant adverse effect on our business, results of operations, financial condition and reputation.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after initial FDA or foreign regulatory agency approval has been obtained, further studies may be required to provide additional data on safety or to gain approval for the use of a product as a treatment for clinical indications other than those initially targeted. Use of a product during testing and after marketing could reveal side effects that could delay, impede, or prevent marketing approval, result in a regulatory agency-ordered product recall, or in regulatory agency-imposed limitations on permissible uses or in withdrawal of approval. For example, if the FDA or foreign regulatory agency becomes aware of new safety information after approval of a product, it may require us to conduct further clinical trials to assess a known or potential serious risk and to assure that the benefit of the product outweigh the risks. If we are required to conduct such a post-approval study, periodic status reports must be submitted to the FDA or foreign regulatory agency. Failure to conduct such post-approval studies in a timely manner may result in substantial civil or criminal penalties. Data resulting from these clinical trials may result in expansions or restrictions to the labeled indications for which a product has already been approved. Any of these requirements or actions may negatively impact our business or operations.</w:t>
      </w:r>
    </w:p>
    <w:p>
      <w:pPr>
        <w:pStyle w:val="TextBody"/>
        <w:bidi w:val="0"/>
        <w:spacing w:before="360" w:after="283"/>
        <w:jc w:val="both"/>
        <w:rPr>
          <w:rFonts w:ascii="Times New Roman" w:hAnsi="Times New Roman"/>
          <w:sz w:val="20"/>
        </w:rPr>
      </w:pPr>
      <w:r>
        <w:rPr>
          <w:rFonts w:ascii="Times New Roman" w:hAnsi="Times New Roman"/>
          <w:b/>
          <w:color w:val="000000"/>
          <w:sz w:val="20"/>
        </w:rPr>
        <w:t>The FDA has granted orphan drug designation to OPC1 for the treatment of acute spinal cord injuries, but there is no guarantee we will be able to maintain orphan drug designation or obtain the benefits associated with orphan drug designation, including marketing exclusivity.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orphan drug designation from the FDA for OPC1 for the treatment of acute spinal cord injuries. As discussed in more detail in Item 1. “Business—Government Regulation—FDA and Foreign Regulation of Therapeutic Products,” above, generally, if a biologic with orphan drug designation from the FDA subsequently receives the first marketing approval for the indication for which it has such designation, the product is entitled to seven years of marketing exclusivity in the United States. Other benefits of an orphan drug designation may include a waiver of the marketing application fee. However, the orphan drug designation does not convey any advantage in, or shorten the duration of, the regulatory review or approval process.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Orphan drug designation may not effectively protect OPC1 from competition because different drugs or biologics can be approved for the same indication and only the first biologic with an orphan drug designation to receive FDA approval for the treatment of acute spinal cord injuries will receive marketing exclusivity. OPC1 may not receive orphan drug exclusivity if it is approved for a use that is broader than the indication for which it received orphan designation. In addition, exclusive marketing rights in the United States may be lost if the FDA later determines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request for orphan drug designation was materially defective or if we are unable to assure sufficient quantities of the commercial product to meet the needs of patients with acute spinal cord injuries.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Risks Related to Our Clinical Development and Commercial Operations</w:t>
      </w:r>
    </w:p>
    <w:p>
      <w:pPr>
        <w:pStyle w:val="TextBody"/>
        <w:bidi w:val="0"/>
        <w:spacing w:before="240" w:after="283"/>
        <w:jc w:val="both"/>
        <w:rPr>
          <w:rFonts w:ascii="Times New Roman" w:hAnsi="Times New Roman"/>
          <w:sz w:val="20"/>
        </w:rPr>
      </w:pPr>
      <w:r>
        <w:rPr>
          <w:rFonts w:ascii="Times New Roman" w:hAnsi="Times New Roman"/>
          <w:b/>
          <w:color w:val="000000"/>
          <w:sz w:val="20"/>
        </w:rPr>
        <w:t>Clinical development of new therapeutic products is a lengthy and expensive process with a high level of uncertainty as to timing and ultimate outcome.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and nonclinical development of new therapeutic products is expensive and can take many years to complete, and its outcome and timing are inherently uncertain. Clinical trials of our product candidates may not be conducted as planned or completed on schedule, if at all, and failure can occur at any time during the development process. There is typically an extremely high rate of attrition from the failure of product candidates proceeding through clinical trials, and cell therapy is a relatively new field, which may heighten the risk of failure. Events that may prevent successful or timely completion of clinical development of our product candidates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generate satisfactory preclinical, toxicology, or other in vivo or in vitro data or diagnostics to support the initiation or continuation of clinical studies necessary for product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delays in identifying, developing or securing rights to use, and testing delivery systems or other methods for administration of our potential cell therapies;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securing clinical investigators and agreeing on acceptable terms with contract research organizations (“CROs”) and clinical trial sites, the terms of which can be subject to extensive negotiation and may vary significantly among CROs and clinical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obtaining required institutional review board (“IRB”) or ethics committee (“EC”) approval at each clinical trial site;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obtaining permission from regulatory authorities to conduct a clinical trial after review of an IND or equivalent foreign application or amendment;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slower than anticipated rates of patient recruitment and enrollment or failure to reach the targeted number of study participants due to competition from other clinical trials or available treatment options (some potentially newly approved and marketed), or patients dropping out of our clinical studies once enrolled;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by clinical sites or our CROs or other third parties to adhere to clinical trial requirements or report complete findings;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perform the clinical studies in accordance with the FDA’s good clinical practices requirements or applicable foreign regulatory guidelines;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occurrence of serious adverse events (“SAEs”) or adverse events (“AEs”) associated with our product candidates or with product candidates of third parties that may have characteristics similar to or perceived to be similar to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negative or inconclusive results from clinical trials of our product candidates or clinical trials of product candidates with characteristics similar to or perceived as similar to our product candidates, which may result in decisions by us or our collaborators, or requirements imposed by regulators, to conduct additional clinical studies or to curtail or abandon development programs for a product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inadequate effectiveness or unacceptable side effects, possibly resulting in the FDA or other regulatory authorities denying approval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approval and introduction of new therapies or changes in standards of practice or regulatory guidance that render our clinical trial endpoints or the targeting of our proposed indications obsolete;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monitor patients adequately during or after treatment or problems with patient compliance with the clinical trial protocols;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or unwillingness of medical investigators to follow our clinical trial protocols;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inadequate supply or quality of clinical trial materials or other supplies necessary for the conduct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delayed or unfavorable FDA or other regulatory agency inspection and review of a clinical trial site or a manufacturing facility;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use clinical trial results from foreign jurisdictions to support U.S.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regulatory requirements and guidance that require amending clinical trial protocols or conducting additional clinical or nonclinical studies;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greater than anticipated cost of clinical studies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patients drop out of our clinical trials, miss scheduled doses or follow-up visits or otherwise fail to follow clinical trial protocols, or if our clinical trials are otherwise disrupted due to unforeseen events, such as previously occurred as a result of the COVID-19 pandemic as discussed elsewhere in this Risk Factors section, the integrity of data from our clinical trials may be compromised or not accepted by the FDA or other regulatory authorities, which would represent a significant setback for the applicable program. In addition, the risks and uncertainties discussed herein with respect to clinical development we conduct or control, similarly apply to clinical development of our product candidates by a strategic collaborator.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Delays or any inability to successfully complete clinical development and obtain regulatory approval could result in additional costs to us, impair our ability to generate revenue and harm our financial condition. Clinical trial delays could also shorten any periods during which our products have patent protection and may allow competitors to develop and bring products to market before we do and may harm our prospects and results of operations.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The results of preclinical studies and early clinical trials of our product candidates are not necessarily predictive of future results. Our product candidates may not have favorable results in later clinical trials despite positive results in preclinical and early clinical studies, which may have a material and adverse effect on our business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our product candidates will require substantial additional development, and no assurances can be given that the development of any of our product candidates will ultimately be successful, whether development activities are conducted by us or a strategic collaborator. Results from preclinical testing and clinical studies of our product candidates, may support continued development and we or a collaborator may spend significant time and resources on development of a potential product based on results of such early studies, but product candidates in later stages of development may fail to demonstrate safety and efficacy results necessary for regulatory approval or commercial viability. Many companies in our industry have suffered significant setbacks in advanced clinical trials due to lack of efficacy, insufficient durability of efficacy or unacceptable safety issues, notwithstanding promising results in earlier trials. Most product candidates that commence clinical trials are never approved as products. A failure of one or more clinical studies can occur at any stage of development, including in a post-approval study.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later clinical studies, our product candidates may not demonstrate the efficacy, durability of efficacy, or safety achieved in preclinical and earlier clinical studies for a variety of reasons,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efforts to improve, standardize, and scale up the manufacture of our clinical product candidates, including OpRegen and OPC1, and any resulting changes to the product candidates, may adversely affect the safety, purity, potency or efficacy of such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differences in delivery systems or other methods of transplant or administration of our cell formulations;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differences in trial design, including number of subjects, controls (type and number), eligibility criteria, patient populations, and endpoints;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advancements in the standard of care, including newly approved and/or marketed products, may affect our ability or that of a collaborator to demonstrate efficacy or achieve trial endpoints in current or future clinical trials of our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variability in interpretation and analysis of study data.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based on data analyzed to date, in our Phase 1/2a open-label trial for OpRegen, OpRegen has been well tolerated and demonstrated an acceptable safety profile, with no unexpected adverse events, while having qualifiable and quantifiable therapeutic potential in patients with geographic atrophy secondary to age-related macular degeneration. However, positive data from the Phase 1/2a trial are not necessarily predictive of results that may be seen from the ongoing Phase 2a clinical trial of RG6501 (OpRegen) being conducted by Roche. We do not know how OpRegen will perform in that Phase 2a trial or future clinical trials.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 clinical trials of our product candidates, which may include registrational trials, trials in additional patient populations or under different treatment conditions, and trials using different manufacturing protocols, processes, materials or facilities or under different manufacturing conditions, will be necessary before we or our collaborators are able to seek approvals for our product candidates from the FDA and regulatory authorities outside the United States to market and sell these product candidates. Our failure, or that of our collaborators, to meet the requirements to support marketing approval for our product candidates in ongoing and future clinical trials would substantially harm our business and prospects. If clinical trials of our product candidates are not successful, our business, financial condition and results of operations could be materially harmed, and the price of our common shares may decline significantly following announcement of an unsuccessful clinical trial.</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Interim, topline and preliminary data from clinical trials of our product candidates that we or our collaborators publicly disclose from time to time may change as more patient data become available and are subject to audit and verification procedures that could result in final clinical data that is materially different and unfavorable.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or collaborators conducting clinical trials of our product candidates may publicly disclose interim, preliminary or topline data from those clinical trials, which is based on a preliminary analysis of then-available data, and the results and related findings and conclusions are subject to change following a more comprehensive review of the data related to the particular trial. We also make assumptions, estimations, calculations and conclusions as part of our analyses of data, and we may not have received or had the opportunity to fully and carefully evaluate all data. As a result, preliminary and topline results reported for clinical trials of our product candidates may differ from final results of the same studies, or different conclusions or considerations may qualify such results, once additional data have been received and fully evaluated. Such data also remain subject to audit and verification procedures that may result in the final data being materially different from the preliminary data previously disclosed by us or a collaborator. As a result, preliminary and topline data should be viewed with reservation until the final data are available. From time to time, we or a collaborator may also disclose interim data from clinical trials of our product candidates. Interim data from clinical trials of our product candidates are subject to the risk that one or more of the clinical outcomes may materially change as patient enrollment continues and more patient data become available. Adverse differences between preliminary, topline or interim data and final data could significantly harm our business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those of our collaborators, or may interpret or weigh the importance of data differently, which could impact the value of the particular program, the approvability or commercialization of the particular product candidate or product and our company in general. In addition, the information we or a collaborator chooses to publicly disclose regarding a particular trial is based on what is typically extensive information, and you or others may not agree with what we or the collaborator determines is the material or otherwise appropriate information to include in the public disclosure, and any information we or the collaborator determines not to disclose may ultimately be deemed significant with respect to future decisions, conclusions, views, activities or otherwise regarding a particular product candidate or our business. If the topline data reported by us or a collaborator differ from actual results, or if others, including regulatory authorities, disagree with the conclusions reached, our ability, or that of a collaborator, to obtain approval for, and commercialize, our product candidates may be harmed, which could harm our business, operating results, prospects or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The manufacture of our cell therapy product candidates is complex, highly regulated and subject to a multitude of risks. We have limited experience manufacturing our product candidates on a clinical scale and no experience manufacturing on a commercial scale. Any failure by us or any third party on which we may depend to manufacture our product candidates in sufficient quantities in accordance with applicable quality standards and regulatory requirements and at acceptable costs, may result in significant clinical development delays or impair our ability, or that of a strategic collaborator, to obtain approval for or commercialize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manufacture and supply of our cell therapy product candidates involve novel processes that are generally more complex than those required for small molecule drugs and accordingly present significant challenges and are subject to multiple risks. These complex processes involve the expansion and differentiating of the pluripotent cells to obtain the desired cell product candidate. Manufacturing our product candidates requires significant expertise and capital investment, including in the development and validation of advanced manufacturing techniques and specific quality assurance and quality control procedures. As a result of the complexities involved, the cost to manufacture human cell-based biologics is generally higher than for traditional therapies or vaccines and the manufacturing process is less reliable and more difficult to reproduce. In addition, our cost of goods development is at an early stage. The actual cost to manufacture and supply our product candidates could be greater than we expect and could materially and adversely affect the commercial viability of our product candidates. Excessive manufacturing costs could make our product candidates too expensive to compete with alternative products or therapies, or might result in third-party payors declining to cover our products or setting coverage levels too low for us or a strategic collaborator to earn a profit from the commercialization of one or more of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need to scale up our manufacturing operations to produce sufficient quantities of our cell therapy product candidates for later-stage clinical trials and potential commercialization, as we do not currently have the infrastructure or capability to manufacture sufficient quantities of each of our product candidates to support large clinical trials or commercialization, if approved. Currently, as described elsewhere in this Risk Factors section, we are entirely dependent on our subsidiary Cell Cure and its manufacturing facility located in Israel for the manufacture and supply of our cell therapy product candidates. While that facility is designed and equipped to enable simultaneous cGMP processes and to produce a range of human cell therapy products for use in clinical trials, as well as at a scale suitable for commercial launch, we will need greater manufacturing capacity to support commercial development of all our product candidates. If we do not have sufficient capital to increase our internal manufacturing capabilities, we may need to rely on third-parties to manufacture and supply any products we develop and there is no assurance that we would be able to identify third parties capable of manufacturing our product candidates on acceptable terms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still developing optimized and reproducible manufacturing processes for clinical and commercial-scale manufacturing of our product candidates. To date, we have not scaled the manufacturing processes with respect to any of our product candidates for commercialization. None of our manufacturing processes have been validated for commercial production of our product candidates. We may face multiple challenges as we scale up our manufacturing operations or transfer manufacturing operations to a strategic collaborator or other third-party manufacturer and, ultimately, we or such third party may not be successful as to one or more of our product candidates. These challenges include, among others, cost overruns, potential problems with process scale-up, process reproducibility, stability and purity issues, compliance with cGMP and cGTP, lot consistency and timely availability and quality of acceptable reagents and raw materials. In addition, we are continuing to optimize our protocols for the supply and transport of our product candidates for distribution to clinical trial sites. Although we are working to develop reproducible and commercially viable manufacturing processes for our product candidates, and effective protocols for the supply and transport of our product candidates, doing so is a difficult and uncertain task. If we or a strategic collaborator or other third-party manufacturer are unable to scale production to the level required for commercialization, we or they may not be able to meet the requirements for the potential commercial launch or to meet potential future demand if any product candidates are approved for commercialization, which would have an adverse effect on our business, financial condition, results of operations and growth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manufacturing processes for any products that we may develop and the facilities used to manufacture our product candidates are subject to FDA and foreign regulatory authority approval requirements, and we will need to meet, and any third party manufacturers we may rely on the future will need to meet, all applicable FDA and foreign regulatory authority requirements on an ongoing basis. We cannot provide assurance that the manufacturing processes that we or a third-party manufacturer uses, or the technologies incorporated into these processes, will result in viable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or scalable yields of our cell therapy product candidates that will be safe and effective. We may be required to identify alternative protocols, processes, raw materials, or facilities for the manufacture of any of our product candidates in compliance with applicable regulatory requirements. In addition, we may be required to increase our safety testing protocols for our product candidates. Any modifications to our manufacturing and supply protocols, processes, safety testing, materials or facilities, including as a result of transferring manufacturing operations to a strategic collaborator or other third-party manufacturer, and any delays in, or inability to, establish acceptable manufacturing and supply operations for our product candidates could require us to incur substantial additional development costs or result in significant delays to clinical development or regulatory approval of our product candidates. If we or any future third-party manufacturer is unable to reliably produce products to specifications acceptable to the FDA or other regulatory authorities, we or a collaborator may not obtain or maintain the regulatory approvals needed to commercialize our product candidates. Even if we or a collaborator obtains regulatory approval for any product candidates, there is no assurance that either we or any future third-party manufacturer will be able to manufacture the approved product to specifications acceptable to the FDA or other regulatory authorities, to produce it in sufficient quantities and on the requisite timelines to meet the requirements for the potential launch of the product, or to meet potential future demand. Additionally, changes in regulatory requirements may require us or a third-party manufacturer to perform additional studies or to modify protocols, processes, materials or facilities for the manufacture of our product candidates or any components thereof. Any of these challenges could delay initiation or completion of clinical trials, require bridging clinical trials or the repetition of one or more clinical trials, increase clinical trial costs, delay approval of our product candidates, impair commercialization efforts, increase the cost of goods, and have an adverse effect on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color w:val="000000"/>
          <w:sz w:val="20"/>
        </w:rPr>
        <w:t>Changes in or disruptions to our manufacturing operations could materially and adversely affect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have to make changes to the manufacturing operations or processes for our product candidates at various points during development, before or after commercialization, for various reasons, such as to control costs, achieve scale, decrease processing time, increase manufacturing success rate, or for other reasons, such as to transfer manufacturing responsibilities to a collaborator. Such changes, even seemingly minor changes, carry the risk that they will not achieve their intended objectives, and any of these changes could cause our product candidates to perform differently and affect the results of any then-ongoing clinical trials or future clinical trials, or the performance of the product. In certain circumstances, if changes are made to the manufacturing operations or process for a product candidate, the FDA or foreign regulatory authorities may require comparability studies to be performed and additional preclinical or clinical data to be collected prior to undertaking additional clinical trials or obtaining marketing approval for the product candidate, or if already on the market, prior to supplying any product produced with such modified process. For instance, if changes are made to the manufacturing process for a product candidate during the course of clinical development, regulatory authorities may require us or our collaborator to show the comparability of the product used in earlier clinical phases or earlier portions of a trial to the product used in later clinical phases or later portions of the trial. We or our collaborator may be unable to successfully generate comparability data, and even if such data is generated and provided, regulatory authorities may determine that the data are insufficient to support a determination of comparability which would result in additional testing, and could result in manufacturing delays and affect our ability, or that of our collaborator, to timely commence or complete clinical trials of our product candidate, which could delay further development or commercialization of such product candidate and may increase our development costs substantially and/or delay payments to us from a collaborator.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Currently, as described elsewhere in this Risk Factors section, we are entirely dependent on our subsidiary Cell Cure and its manufacturing facility located in Israel for the manufacture and supply of our cell therapy product candidates, and events or conditions that disrupt operations at that facility could materially and adversely affect our business. In 2022, we announced the opening of a new research and development facility in Carlsbad, California to support the development of current and future allogeneic cell transplant programs. Utilization of this new facility for cGMP manufacturing of our product candidates will require significant additional investment, including hiring and retaining additional experienced scientific, quality control, quality assurance, and manufacturing personnel, which may be difficult given the intense competition for qualified personnel in our industry as described elsewhere in this Risk Factors section. Even if we have sufficient capital to complete the build-out and staffing of the Carlsbad facility, we will need to conduct significant development work to transfer our manufacturing processes to enable manufacturing of any product candidate in our Carlsbad facility. Transferring manufacturing testing and processes and know-how is complex and involves review and incorporation of both documented and undocumented processes that may have evolved over time. If, in the future we were to transfer manufacturing responsibilities to a collaborator, as we expect to do with OpRegen, or engage a third-party manufacturer to conduct any of the cGMP manufacturing for our product candidates, or any product, we would face similar and significant challenges in transferring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manufacturing processes and know-how, which may delay the manufacture of clinical trial or commercial supplies and disrupt or delay clinical development of our product candidates. In addition, transferring production to different facilities may require utilization of new or different processes to meet the specific requirements of a given facility. We or our collaborator may be required to demonstrate the comparability of clinical material generated at any new facility with material previously produced and used in clinical testing. Any inability to manufacture comparable material by us, a collaborator, or any third-party manufacturer we may engage could delay the development and commercialization of our product candidates and may increase our development costs substantially.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product candidates are susceptible to product loss or reduced manufacturing success rates at various points during the manufacturing process, including quality issues due to contamination, equipment damage or failure, including during shipment or storage, failure of equipment to operate as expected, improper installation or operation of equipment, operator error, damage to, variability of, or improper use of raw materials or consumables necessary for the manufacturing process, inconsistency in yields, variability in product characteristics, and difficulties in scaling the production process. Any of these issues, and even minor deviations from normal manufacturing processes, could result in reduced production yields, product defects, and other supply disruptions and delays. If any contaminants are discovered in a product candidate during production or clinical testing this could lead to the withdrawal of the product from clinical trials. Moreover, if the FDA or comparable foreign regulatory authorities determine that we or any future third-party manufacturer is not in compliance with applicable laws and regulations, including cGMPs and cGTPs, the FDA or comparable foreign regulatory authority may not approve a marketing application until the deficiencies are corrected or we or a collaborator replace the manufacturer in our application with a manufacturer that is in compliance, which may not be feasible on a timely basis at a reasonable cost, or at all. If we or any future third-party manufacturer fails to comply with applicable regulatory requirements, we or a collaborator may ultimately be unable to manufacture the product candidate. Any such failure could be the basis for the FDA to issue a warning letter, withdraw approvals for product candidates previously granted to us, or take other regulatory or legal action, including recall or seizure of supplies of the product candidate, total or partial suspension of production, suspension of then-ongoing clinical trials, refusal to approve then-pending applications or supplemental applications, detention of product, refusal to permit the import or export of products, injunction or imposing civil and criminal penalties. The occurrence of any of these issues could result in product liability claims, delay or failure to commence or complete clinical development, obtain regulatory approval of or commercialize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manufacturing operations, and those of any third-party manufacturer on which we may rely, are also susceptible to disruption due to resource constraints, labor shortages, supply chain failures, public health emergencies, geopolitical conflict, war, acts of terrorism, political or economic instability or crises, natural disasters, and other reasons. Any adverse developments affecting manufacturing operations for any of our product candidates may result in shipment delays, inventory shortages, lot failures, product withdrawals or recalls, or other supply interruptions that could negatively impact the conduct of clinical trials or the commercialization of any product candidates for which we or a collaborator may obtain regulatory approval. We may also have to take inventory write-offs and incur other charges and expenses for products that fail to meet specifications as a result of defects or storage over an extended period of time, undertake costly remediation efforts, or seek more costly manufacturing alternatives, which may not be available on a timely basis, or at all.</w:t>
      </w:r>
    </w:p>
    <w:p>
      <w:pPr>
        <w:pStyle w:val="TextBody"/>
        <w:bidi w:val="0"/>
        <w:spacing w:before="360" w:after="283"/>
        <w:jc w:val="both"/>
        <w:rPr>
          <w:rFonts w:ascii="Times New Roman" w:hAnsi="Times New Roman"/>
          <w:sz w:val="20"/>
        </w:rPr>
      </w:pPr>
      <w:r>
        <w:rPr>
          <w:rFonts w:ascii="Times New Roman" w:hAnsi="Times New Roman"/>
          <w:b/>
          <w:color w:val="000000"/>
          <w:sz w:val="20"/>
        </w:rPr>
        <w:t>Regenerative Medicine Advanced Therapy</w:t>
      </w:r>
      <w:r>
        <w:rPr>
          <w:rFonts w:ascii="Times New Roman" w:hAnsi="Times New Roman"/>
          <w:color w:val="000000"/>
          <w:sz w:val="20"/>
        </w:rPr>
        <w:t xml:space="preserve"> </w:t>
      </w:r>
      <w:r>
        <w:rPr>
          <w:rFonts w:ascii="Times New Roman" w:hAnsi="Times New Roman"/>
          <w:b/>
          <w:color w:val="000000"/>
          <w:sz w:val="20"/>
        </w:rPr>
        <w:t>designation may not lead to a faster development or regulatory review or approval process and it does not increase the likelihood that a product candidate will receive marketing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received RMAT designation from the FDA for OPC1 for the treatment of subacute spinal cord injuries. There is no assurance that we will be able to obtain RMAT designation for any other current or future product candidates. RMAT designation does not change the FDA’s standards for product approval, and there is no assurance that such designation will result in expedited review or approval or that the approved indication will not be narrower than the indication covered by the RMAT designation. Additionally, RMAT designation can be revoked if the criteria for eligibility cease to be met as clinical data emerges.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The commercial success of any of our current or future product candidates will depend upon the degree of market acceptance by physicians, patients, third-party payors, other healthcare providers and others in the medical community.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a product candidate obtains regulatory approval, its commercial success will depend in part on physicians, patients, third-party payors, other healthcare providers and others in the medical community accepting our product candidates as medically useful, cost-effective, and safe. Any product candidate we or a collaborator brings to the market may not gain market acceptance by such parties. The degree of market acceptance of any of our product candidates will depend on several factors, including without limitation: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efficacy of the product as demonstrated in clinical trials and potential advantages over competing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indications for which approval is granted, including any limitations or warnings contained in a product’s approved labeling;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convenience and ease of administration, including compared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treatment, including in relation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willingness of the patients and physicians to accept and use these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marketing, sales and distribution support for the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publicity concerning our products or competing products and treatments;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pricing and availability of coverage and adequate reimbursement by third-party payors and government agencies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a product displays a favorable efficacy and safety profile upon approval, market acceptance of the product will be uncertain. Efforts to educate the medical community and third-party payors on the benefits of the products may require significant investment and resources and may never succeed. If our product candidates fail to achieve an adequate level of acceptance by physicians, patients, third-party payors, other healthcare providers and others in the medical community, we will not be able to generate sufficient revenue to become or remain profitable.</w:t>
      </w:r>
    </w:p>
    <w:p>
      <w:pPr>
        <w:pStyle w:val="TextBody"/>
        <w:bidi w:val="0"/>
        <w:spacing w:before="360" w:after="283"/>
        <w:jc w:val="both"/>
        <w:rPr>
          <w:rFonts w:ascii="Times New Roman" w:hAnsi="Times New Roman"/>
          <w:sz w:val="20"/>
        </w:rPr>
      </w:pPr>
      <w:r>
        <w:rPr>
          <w:rFonts w:ascii="Times New Roman" w:hAnsi="Times New Roman"/>
          <w:b/>
          <w:color w:val="000000"/>
          <w:sz w:val="20"/>
        </w:rPr>
        <w:t>If the market opportunities for our product candidates prove to be significantly smaller than we estimate, our business prospects may suffer</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projections of addressable patient populations within any particular disease state or condition that may benefit from treatment with our product candidates are based on our beliefs and estimates. Market opportunity estimates and growth forecasts are subject to significant uncertainty and are based on assumptions and estimates. Our estimates have been derived from a variety of sources, including market research and publications and scientific literature estimating the total number of potential patients and currently approved or used therapies. Our estimates are also based on assumptions regarding the potential size of the market assuming broad regulatory approval or potential usage by physicians beyond the approved label. Any of our estimates may prove to be incorrect. The scope of approval and potential use of any product candidate may be significantly narrower, and the number of patients may turn out to be lower than expected. Competitive products or approaches may be approved or come into use and achieve market penetration earlier than our products candidates. The potentially addressable patient population for each of our product candidates may be limited or may not be amenable to treatment with our product candidates, and new patients may become increasingly difficult to identify or gain access to. If any of our estimates proves to be inaccurate, the market opportunity for any of our product candidates could be significantly diminished, which would have an adverse material impact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face significant competition and the possibility that our competitors may develop therapies that are more effective, safer, more convenient, or less expensive than our product candidates. In addition, competitive products may be approved and successfully commercialized before ours, which may adversely affect our ability, or that of a strategic collaborator, to successfully commercialize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biotechnology and pharmaceutical industries, including the still emerging area of cell therapies, is intensely competitive and characterized by rapid and significant innovation. Any of our product candidates that obtains regulatory approval will face substantial competition based on many different factors, including its relative safety and efficacy, ease of administration for healthcare providers, convenience of use for patients, as well as the timing and scope of regulatory approvals for our product, the cost of manufacturing and whether sufficient quantities can be produced to meet demand, our marketing and sales capabilities or those of our collaborators, pricing, reimbursement coverage levels, and patent positions. Competing products could present superior treatment alternatives, including by being more effective, safer or easier or more convenient to administer, or may be less expensive for third-party payors or patients or marketed and sold more effectively than any products we may develop.</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Our competitors include a variety of major pharmaceutical and biopharmaceutical companies and specialty pharmaceutical and biotechnology companies, as well as technology and therapeutics being developed at academic institutions and other public and private research institutions. Many of our competitors have greater financial and other resources, such as larger research and development staff, more experienced manufacturing organizations and facilities, and established sales and marketing organizations. Mergers and acquisitions in the pharmaceutical and biotechnology industries may result in even more resources, including intellectual property that may be necessary or useful for the development and commercialization of our product candidates, being concentrated in our competitors and becoming unavailable to us on reasonable commercial terms or at all. Third parties are commercializing, have developed, are developing or may develop product candidates, platform technologies and processes that will compete with ours. Competitive therapeutic treatments may include those that have already been approved and accepted by the medical community and considered standard-of-care treatments, as well as novel treatments recently approved or that are currently in preclinical or clinical development and may obtain market penetration earlier than our products do. For example, in 2023, the FDA approved two therapies for the treatment of GA secondary to AMD, Apellis Pharmaceuticals, Inc.’s SYFOVRE® (pegcetacoplan injection) and </w:t>
      </w:r>
      <w:r>
        <w:rPr>
          <w:rFonts w:ascii="Times New Roman" w:hAnsi="Times New Roman"/>
          <w:caps/>
          <w:color w:val="000000"/>
          <w:sz w:val="20"/>
        </w:rPr>
        <w:t xml:space="preserve">Iveric </w:t>
      </w:r>
      <w:r>
        <w:rPr>
          <w:rFonts w:ascii="Times New Roman" w:hAnsi="Times New Roman"/>
          <w:color w:val="000000"/>
          <w:sz w:val="20"/>
        </w:rPr>
        <w:t xml:space="preserve">bio, Inc.’s IZERVAY (avacincaptad pegol intravitreal solution), and these treatments became available to patients in the U.S. One or both of those products may obtain significant market penetration before OpRegen completes clinical development. Regulatory approval and/or the achievement of clinical or commercial success of one or more competing products or product candidates may reduce or eliminate the market for our product candidates. For additional information regarding our competition, see “Business—Competition” in Item 1 above. In addition, if one or more competing products fail to obtain regulatory approval or achieve clinical or commercial success and are perceived by regulators, healthcare providers, third-party payors or potential patients as comparable to our product candidates, our regulatory strategy could be impaired, our ability, or that of a collaborator, to obtain regulatory approval for our product candidates could be delayed or prevented, or the market for our product candidates may be reduced or eliminated.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Competitive products may make any product we develop obsolete or noncompetitive before we recover the expense of developing and commercializing the product. If we or our collaborators are unable to compete effectively, the products we may develop independently or in collaboration with a third party, if approved, may never achieve significant market share or generate significant revenue, which could adversely affect our business, prospects and financial condition.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face potential product liability, and, if successful claims are brought against us, we may incur substantial liability and costs. If the use or misuse of our products or product candidates harm patients or is perceived to harm patients even when such harm is unrelated to our products or product candidates, our regulatory approvals could be revoked, suspended or otherwise negatively affected, our reputation could suffer, and we could be subject to costly and damaging product liability claims.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face the risk of incurring liabilities to clinical trial patients if they are injured as a result of their participation in clinical trials of our product candidates or products. We also face potential product liability for use or misuse of our products that obtain regulatory approval and are commercialized. In 2023, we settled a product liability lawsuit, which we determined was not material, relating to the use in a clinical trial of a product candidate that we are no longer developing and have no plans to pursue, and that is not related to the cell therapy candidates we currently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See Note 14 (Commitments and Contingencies) to our consolidated financial statements included this report for additional information. We may not successfully defend any product liability claims made against us in the future. Product liability claims could delay or prevent completion of our clinical development programs. Such claims could result in FDA or other regulatory authority investigations of the safety of our product candidates or products, our manufacturing processes and facilities or our marketing programs. If any claims are made and if liability can be established, the amount of any liability we or our affiliates may incur, could exceed any insurance coverage in effect, and the amount of the liability could be material to our financial condition and operating results. In addition, even if we successfully defend against product liability claims, we could incur substantial costs in defending against claims and suffer significant reputational harm that negatively impacts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use or misuse of our product candidates in clinical trials and the sale of any products for which we obtain marketing approval exposes us to the risk of product liability claims. Product liability claims might be brought against us by those who use our product candidates in clinical trials, consumers, healthcare providers, pharmaceutical companies or others selling or otherwise coming into contact with our products. There is a risk that our product candidates or future products may induce adverse events. If we cannot successfully defend against product liability claims, we could incur substantial liability and costs. Legal proceedings are inherently uncertain and unpredictable and proceedings believed to be immaterial could prove to have a material adverse effect on our business, operating results and financial condition. Regardless of merit or eventual outcome, product liability claims may result 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reputational harm;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initiation of investigations by regulators;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costs due to related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distraction of management’s attention from our primary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monetary awards to patients or other claimants;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to complete development of or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recalls, withdrawals or labeling, marketing or promotional restrictions;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decreased demand for any marketed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not be able to maintain appropriate product liability insurance coverage at a reasonable cost or in sufficient amounts to protect us against losses due to product liability claims. If and when we obtain marketing approval for a product candidate and prior to commercial launch, we intend to expand our insurance coverage to include the sale of commercial products; however, we may be unable to obtain appropriate product liability insurance on commercially reasonable terms or in adequate amounts. Significant damages have been awarded in class action lawsuits based on drugs or medical treatments that had unanticipated adverse effects. A successful product liability claim or series of claims brought against us could cause the price of our common shares to decline and, if the amount of damages exceeds our insurance coverage, could adversely affect our results of operations and business.</w:t>
      </w:r>
    </w:p>
    <w:p>
      <w:pPr>
        <w:pStyle w:val="TextBody"/>
        <w:bidi w:val="0"/>
        <w:spacing w:before="360" w:after="283"/>
        <w:jc w:val="both"/>
        <w:rPr>
          <w:rFonts w:ascii="Times New Roman" w:hAnsi="Times New Roman"/>
          <w:sz w:val="20"/>
        </w:rPr>
      </w:pPr>
      <w:r>
        <w:rPr>
          <w:rFonts w:ascii="Times New Roman" w:hAnsi="Times New Roman"/>
          <w:b/>
          <w:color w:val="000000"/>
          <w:sz w:val="20"/>
        </w:rPr>
        <w:t>We currently have no marketing and sales force or distribution capabilities. If we are unable to establish effective internal capabilities or effectively collaborate with third parties to market and sell our product candidates, if approved, our ability to generate product revenue will suffer.</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currently have no marketing, sales, or distribution capabilities because all of our cell therapy product candidates are in preclinical or early clinical development, or in OpRegen’s case, we have entered into an agreement whereby Roche has commercialization responsibility for the product, if approved. We will need to build on a territory-by-territory basis marketing, sales, distribution and supporting capabilities to commercialize any other product candidate that obtains regulatory approval, or selectively seek to enter into similar strategic collaborations or otherwise outsource these functions to one or more third parties such as contract sales organizations and distributors. There are significant risks involved if we decide to establish our own sales and marketing capabilities or enter into arrangements with third parties to perform these functions. To the extent that we enter into collaboration agreements with respect to marketing, sales, or distribution, our product revenue may be lower than if we directly marketed or sold any approved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products. Such collaborative arrangements with partners may place the commercialization of our products outside of our control and would subject us to a number of risks, including that we may not be able to control the amount or timing of resources that a commercialization collaborator devotes to our products or that a collaborator’s willingness or ability to complete its obligations may be adversely affected by business combinations or significant changes in the collaborator’s business strategy. If we are unable to enter into these arrangements when needed on acceptable terms, or at all, we may not be able to successfully commercialize any of our product candidates that receive regulatory approval, or any such commercialization may experience delays or limitations. Building our own sales and marketing team with technical expertise and supporting distribution capabilities, would require a significant capital investment and require significant attention of our senior management team to manage, and any failure or delay in the development of those internal sales, marketing and distribution capabilities would adversely impact the commercialization of any of our product candidates that obtain approval. If we are unable to develop adequate marketing and sales capabilities on our own or effectively partner with third parties, our ability to generate product revenue will suffer and we may incur significant additional losses, which would have a material adverse effect on our business, financial condition, and results of operations.</w:t>
      </w:r>
    </w:p>
    <w:p>
      <w:pPr>
        <w:pStyle w:val="TextBody"/>
        <w:bidi w:val="0"/>
        <w:spacing w:before="240" w:after="283"/>
        <w:jc w:val="center"/>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Our intellectual property may be insufficient to protect our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patents and patent applications are directed to compositions of matter, formulations, methods of use and/or methods of manufacturing, as appropriate. In addition to patenting our own technology and that of our subsidiaries, we have licensed patents and patent applications for certain stem cell technology, human pluripotent stem cells, and hES cell lines, hydrogel technology and other technology from other companies.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patent positions of pharmaceutical and biotechnology companies, including ours, are generally uncertain and involve complex legal and factual questions. Our business could be negatively affected by any of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claims of any patents that are issued may not provide meaningful protection, may not provide a basis for commercially viable products or may not provide us with any competitive advantages;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patents may be challenged by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have patents of which we are not aware that relate to our technology or business that may prevent us from marketing our product candidates unless we are able to obtain a license to those patents;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pending patent applications and the pending patent applications to which we have rights may not result in issued patents;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patents may have claims that are inadequate to protect our competitive position on our products;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successful in developing additional proprietary technologies that are patentable.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others may independently develop similar or alternative technologies, duplicate any of our technologies and, if patents are licensed or issued to us, design around the patented technologies licensed to or developed by us. Moreover, we could incur substantial costs in litigation if we have to defend ourselves in patent lawsuits brought by third parties or if we initiate such lawsuits.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If we are unable to obtain and enforce patents and to protect our trade secrets, others could use our technology to compete with us, which could limit opportunities for us to generate revenues by licensing our technology and selling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success will depend in part on our ability to obtain and enforce patents and maintain trade secrets in the United States and in other countries. If we are unsuccessful at obtaining and enforcing patents, our competitors could use our technology and create products that compete with our products, without paying license fees or royalties to us. The preparation, filing, and prosecution of patent applications can be costly and time consuming. Our limited financial resources may not permit us to pursue patent protection of all of our technology and products in all key markets. Even if we are able to obtain issued patents covering our technology or products, we may have to incur substantial legal fees and other expenses to enforce our patent rights to protect our technology and products from infringing uses.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rely on trade secrets, including know-how, technology and other unpatented proprietary information, to establish and maintain a competitive position for our product candidates and any products.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invention and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not have the financial resources to finance the litigation required to preserve our patent and trade secret rights. Litigation, interferences, oppositions, inter partes reviews or other proceedings are, have been and may in the future be necessary in some instances to determine the validity and scope of certain of our proprietary rights, and in other instances to determine the validity, scope or non-infringement of certain patent rights claimed by third parties to be pertinent to the manufacture, use or sale of our products. This means that patents owned or licensed by us, or our trade secrets, may be lost if the outcome of a proceeding is unfavorable to us.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There is no certainty that our pending or future patent applications will result in the issuance of patents.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success depends in part on our ability to obtain and defend patent and other intellectual property rights that are important to the commercialization of our products and product candidates. The degree of patent protection that will be afforded to our products and processes in the U.S. and in other important markets remains uncertain and is dependent upon the scope of protection decided upon by the patent offices, courts, administrative bodies and lawmakers in these countries. We can provide no assurance that we will successfully obtain or preserve patent protection for the technologies incorporated into our products and processes, or that the protection obtained will be of sufficient breadth and degree to protect our commercial interests in all countries where we conduct business. If we cannot prevent others from exploiting our inventions and patented technologies, we will not derive the benefit from them that we currently expect. Furthermore, we can provide no assurance that our products will not infringe patents or other intellectual property rights held by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Europe, there is uncertainty about the eligibility of hES cell subject matter for patent protection. The European Patent Convention prohibits the granting of European patents for inventions that concern “uses of human embryos for industrial or commercial purposes.” A recent decision at the Court of Justice of the European Union interpreted parthenogenetically produced hES cells as patentable subject matter. Consequently, the European Patent Office now recognizes that human pluripotent stem cells (including human ES cells) can be created without a destructive use of human embryos as of June 5, 2003, and patent applications relating to hES cell subject matter with a filing and priority date after this date are no longer automatically excluded from patentability under Article 53 (a) EPC and Rule 28(c) EPC.</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Intellectual property we may develop using grants received from governmental entities are subject to rights maintained by those governments.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we perform that is funded by grants from governmental entities and any intellectual property that we create using those grants may be subject to certain rights of the governmental entities to require that we license or grant rights to the intellectual property developed using that funding in certain circumstances.</w:t>
      </w:r>
    </w:p>
    <w:p>
      <w:pPr>
        <w:pStyle w:val="TextBody"/>
        <w:bidi w:val="0"/>
        <w:spacing w:before="360" w:after="283"/>
        <w:jc w:val="both"/>
        <w:rPr>
          <w:rFonts w:ascii="Times New Roman" w:hAnsi="Times New Roman"/>
          <w:sz w:val="20"/>
        </w:rPr>
      </w:pPr>
      <w:r>
        <w:rPr>
          <w:rFonts w:ascii="Times New Roman" w:hAnsi="Times New Roman"/>
          <w:b/>
          <w:color w:val="000000"/>
          <w:sz w:val="20"/>
        </w:rPr>
        <w:t>We may become subject to claims for remuneration or royalties for assigned service invention rights by our employees, which could result in litigation and adversely affect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enter into agreements with our employees pursuant to which they agree that any inventions created in the scope of their employment are assigned to us or owned exclusively by us, without the employee retaining any rights.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significant portion of our intellectual property has been developed by our employees and Cell Cure's employees in the course of their employment. Under the Israeli Patent Law, 5727-1967 (the “Patent Law”), inventions conceived by an employee during the scope of his or her employment with a company are regarded as “service inventions,” which belong to the employer, absent a specific agreement between the employee and employer giving the employee service invention rights. The Patent Law also provides that if there is no such agreement between an employer and an employee, the Israeli Compensation and Royalties Committee, a body constituted under the Patent Law, shall determine whether the employee is entitled to remuneration for his or her inventions. Previous decisions by the Israeli Compensation and Royalties Committee have created uncertainty in this area regarding whether the right to receive remuneration for service inventions can be voluntarily waived by an employee and whether such waiver is enforceable. In addition, the Committee determined that even if such right to receive compensation and royalties for service inventions may be waived, the waiver should be specific. Subsequent court cases have not provided significant clarity on these matters.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Israeli Supreme Court noted (in an obiter dictum) in 2012, without making any decisive ruling, that an employee who contributes to an invention during his employment could be allowed to seek compensation for it from their employer, even if the employee’s contract of employment specifically states otherwise and the employee has transferred all intellectual property rights to the employer. The Israeli Supreme Court considered the possibility that a contract that revokes the employee’s right for royalties and compensation may not necessarily foreclose the right of the employee to claim a right for royalties. As a result, even if we believe that none of our employees has any rights in any of our intellectual property, or to receive royalties, it is unclear if, and to what extent, our employees may be able to claim compensation with respect to our future revenue. As a result, we may receive less revenue from future products if such claims are successful, or incur additional royalty expenses, which in turn could impact our future profitability.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There is no certainty that we will be able to obtain licenses to intellectual property rights owned by third parties.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are no assurances that any of our intellectual property rights will guarantee protection or market exclusivity for our products and product candidates. In such cases, we may need to obtain enabling licenses from third parties to protect our products and product candidates, try to secure market exclusivity or avoid infringing on the intellectual property rights of third parties. If we are unable to fully protect our product candidates or achieve market exclusivity for our products and product candidates, our financial success will be dependent, in part, on our ability to protect and enforce our intellectual property rights, and to operate without infringing upon the proprietary rights of others by obtaining enabling licenses.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an example, Astellas’ patent portfolio with respect to the manufacture of its RPE products could adversely impact our rights to manufacture or commercialize OpRegen. Moreover, we could incur substantial costs in litigation if we have to defend ourselves in patent lawsuits brought by third parties or if we initiate such lawsuits. We may also face competition from companies that have filed patent applications or have obtained patents relating to the propagation and differentiation of stem cells. Those companies include Ocata, which in 2015 had certain U.S. patents issue with claims directed to methods of producing RPE cells and isolating and purifying such cells. We may be required to seek licenses from these competitors in order to commercialize certain products proposed by us, and such licenses may not be granted.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commercial success depends in part on our avoiding infringement of the patents and proprietary rights of third parties. We cannot be certain that our platform technologies, product candidates, and other proprietary technologies we may develop will not infringe existing or future patents owned by third parties. The legal and administrative landscape related to infringement of the patents and proprietary rights of third parties is fluid as there is a substantial amount of litigation involving patents and other intellectual property rights in the biotechnology and pharmaceutical industries, as well as administrative proceedings for challenging patents. These include interference, derivation, inter partes review, post-grant review, and reexamination proceedings before the U.S. Patent and Trademark Office or oppositions and other comparable proceedings in foreign jurisdictions. Litigation and other legal proceedings relating to intellectual property claims, with or without merit, are unpredictable and generally expensive and time-consuming and, even if resolved in our favor, are likely to divert significant resources from our core business and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adequately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enter into or compete in the marketplace.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Risks Related to our Dependence on Third Parties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We may become dependent on possible future collaborations to develop and commercialize many of our product candidates and to provide the regulatory compliance, sales, marketing and distribution capabilities required for the success of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enter into various kinds of collaborative research and development and product marketing agreements to develop and commercialize our product candidates. The expected future milestone payments and cost reimbursements from collaboration agreements could provide an important source of financing for our research and development programs, thereby facilitating the application of our technology to the development and commercialization of our products, but there are risks associated with entering into collaboration arrangements.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described elsewhere in this Risk Factors section, we are dependent on our collaboration with Roche to develop and commercialize OpRegen, and we could become dependent upon one or more possible future collaborative arrangements. A collaborative arrangement upon which we might depend might be terminated by our collaboration partner or a partner might determine not to actively pursue the development or commercialization of our products. Termination of a collaboration agreement by a collaboration partner could dissuade other organizations from collaborating with us and negatively impact our ability to enter into new collaborations or achieve favorable collaboration terms. A collaboration partner also may not be precluded from independently pursuing competing products and drug delivery approaches or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a risk that a collaboration partner might fail to perform its obligations under the collaborative arrangements or may be slow in performing its obligations, or that we have a dispute that harms our working relationship and requires significant resources to resolve, or that we are unable to resolve on our own, resulting in costly legal proceedings. In addition, a collaboration partner may experience financial difficulties at any time that could prevent it from having available funds to contribute to the collaboration. If a collaboration partner fails to conduct its product development, commercialization, regulatory compliance, sales and marketing or distribution activities successfully and in a timely manner, or if it terminates or materially modifies its agreements with us, the development and commercialization of one or more product candidates could be delayed, curtailed or terminated because we may not have sufficient financial resources or capabilities to continue such development and commercialization on our own.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do not have the ability to independently conduct clinical trials required to obtain regulatory approvals for our product candidates and we rely on third parties over whom we have limited control to perform important clinical and preclinical development activities for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rely, and plan to continue to rely, on third parties such as CROs, data management companies, contract clinical research associates, medical institutions, clinical investigators and contract laboratories to assist with preclinical development and conduct clinical trials of our product candidates and we may encounter challenges or delays in our development programs as a result of this reliance. Because these third parties are not our employees, we have limited control over whether or not they devote sufficient time and resources on our programs. Due to our reliance on these third parties, we may not directly control the timing, conduct and expense of our clinical trials. Changing or adding additional CROs involves additional cost and requires management time and attention. In addition, there is a natural transition period when a new CRO commences work. As a result, delays may occur that could negatively impact our ability to meet our anticipated clinical development timelines. If the third parties we engage fail to perform their contractual duties or regulatory obligations or fail to meet expected deadlines, if they need to be replaced or if the quality or accuracy of the data they obtain is compromised due to failing to adhere to our clinical protocols or regulatory requirements or for other reasons, our preclinical development activities or clinical trials may be extended, delayed, suspended or terminated, and we may not obtain regulatory approval for or successfully commercialize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We obtain reagents and specialized materials and equipment required for the manufacture of our cell therapy product candidates from third-party manufacturers and suppliers, which include, in some instances, sole source manufacturers and suppliers. The loss of these suppliers, or their failure to provide us with sufficient key materials or equipment on a timely basis at an acceptable cost, or at all, could materially and adversely affect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development and manufacture of our cell-based product candidates depends on the availability of reagents and specialized materials and equipment which are required to be acceptable to the FDA and applicable foreign regulatory authorities, and such reagents, materials, and equipment may not be available to us on acceptable terms or at all. We rely on third-party suppliers for key components required for the manufacture of our product candidates, including in some cases, sole source manufacturers and suppliers, and we currently do not have long-term commitments or supply agreements to obtain certain of these components.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use reagents in our manufacturing processes, some of which are manufactured or supplied by small companies with limited resources and experience with respect to supporting clinical or commercial biologics production. We currently depend on a limited number of vendors for certain materials and equipment used in the manufacture of our product candidates. Some of these suppliers may not have the capacity to support manufacturing of products under cGMP or may otherwise be ill-equipped to support our needs, particularly as we scale up our manufacturing processes. Reagents and other key materials from these suppliers may have inconsistent attributes and introduce variability into our manufactured process and possibly into product candidates, which may contribute to variable patient outcomes and possible adverse events. We do not have long-term commitments or supply agreements with many of these suppliers and may not be able to enter into supply contracts with them on acceptable terms or at all. Accordingly, we may experience delays in receiving key materials and equipment to support our clinical, and ultimately commercial, manufacturing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some of the reagents, materials, and equipment we require, we currently rely and may in the future rely on sole source suppliers or a limited number of suppliers. We may be unable to continue to source reagents, materials, or equipment from any of these suppliers for various reasons, including due to regulatory actions or requirements affecting a supplier, adverse financial or other strategic developments experienced by a supplier, labor disputes or shortages, unexpected demands from other customers and supply limitations, or quality issues. We cannot be sure that these suppliers will remain in business, or that they will not be purchased by one of our competitors or another company that is not interested in continuing to supply us with these materials in sufficient quantities, on acceptable terms, or at all. The lead time needed to establish a relationship with a new supplier who has access to the required raw materials can be lengthy. The time and effort to identify and qualify a new supplier could result in additional costs, diversion of resources, or reduced manufacturing yields, any of which may negatively impact our business. Additionally, due to global geopolitical, economic, and other factors beyond our control, there has been, and there may continue to be, a shortage of key materials and equipment that are necessary to manufacture our product candidates, including certain consumables such as bags, flasks, and pipette tips, which has affected and may continue to affect our ability to obtain the materials and equipment necessary to manufacture our product candidates and increased our research and development costs. Failures or difficulties faced at any level of our supply chain could delay or impede the development and commercialization of our product candidates and adversely affect our business, financial condition and results of operations. In light of the unpredictable nature of the current economic climate, it may be increasingly difficult for us to predict and control our future expenses for the reagents, materials, and equipment we require to manufacture our product candidates. If any of the foregoing events were to occur, we may experience significant delays in manufacturing our product candidates, and in turn, in the commencement and completion of preclinical development and testing or clinical trials and potential regulatory approval of our product candidates, which could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required to change suppliers, or modify the components, equipment, materials or disposables used for the manufacture of our product candidates, we may be required to change our manufacturing operations or clinical trial protocols or to provide additional data to regulatory authorities in order to use any alternative components, equipment, materials or disposables, any of which could set back, delay, or increase the costs required to complete our clinical development and commercialization of our product candidates. Additionally, any such change or modification may adversely affect the safety, efficacy, stability, or potency of our product candidates, and could adversely affect clinical development of our product candidates and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In some cases, specialized delivery systems or devices may be used to administer our cell therapy product candidates, and we may rely on third parties to manufacture and supply those systems or devices and provide us with intellectual property rights to develop and commercialize them with our cell therapies, if approved. If we are not able to obtain those systems or devices in quantities needed in accordance with our quality standards and regulatory requirements and at acceptable costs, or at all, or those systems or devices fail to perform as expected, clinical development and possible regulatory approval of our product candidates may be significantly delayed and more expensive than anticipated and our business may suffer.</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administration of certain of our cell therapy product candidates requires invasive surgical procedures. We may seek to improve the accuracy or reduce the complexity, risk and variability of administering of our cells to the targeted site in the human body by integrating into the surgical procedures specialized delivery systems or devices developed, manufactured and supplied by third parties. For example, we believe a novel parenchymal spinal delivery system developed by a third party could improve usability and precision in administering OPC1 to the injury site in the spinal cord, hence we entered into an exclusive option and license agreement with that third party, Neurgain, to collaborate on the clinical testing of the device for OPC1 and will evaluate the safety and utility of the device to deliver OPC1 in the DOSED clinical study. To the extent we collaborate with third parties for specialized delivery systems or devices for administration of our product candidates, we may become dependent on those third parties and their contract manufacturers and suppliers not only for rights to use those systems or devices, but also for the manufacture and supply of those systems or devices in sufficient quantities and at acceptable quality levels and costs for our clinical trials, and ultimately to potentially market and sell them with our product candidates, if approved. Our dependence on such third parties is subject to a multitude of risks, including these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They or their third-party manufacturers might not manufacture in a timely manner the device, systems or components in the quantity or quality required to meet our clinical trial needs and, if approved, commercial needs.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They or their third-party manufacturers may not perform as agreed, may terminate their agreements, or may not remain in the contract manufacturing business for the time required to supply our clinical trials or to successfully produce, store and distribute on a commercial scale,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They or their third-party manufacturers may not produce the systems or devices in accordance with applicable regulatory requirements, and their processes or facilities may fail inspection by the FDA or corresponding state or foreign regulatory agencies. We will not have control over their compliance with applicable laws and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They or their third-party manufacturers may not obtain or maintain intellectual property rights necessary for the development, manufacture and, if approved, commercialization of the systems or devices.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They or their third-party manufacturers may experience manufacturing difficulties as a result of resource constraints, labor shortages, supply chain failures, public health emergencies such as the COVID-19 pandemic, geopolitical conflict, wars, acts of terrorism, political or economic instability or crises, natural disasters, or other events outside of their control or the control of their third-party manufacturers. This may result in business closures that adversely affect our ability to obtain clinical or commercial supplies as needed.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subject to product liability exposure arising out of use of the systems or devices to administer our product candidates in clinical trials or, if approved, for commercial use, and our insurance may not cover all potential claims.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any such third-party collaborator or their contract manufacturers or suppliers were to encounter any of these difficulties, our ability to commence and conduct clinical trials of certain of our cell therapy product candidates on communicated timelines, or at all, could be jeopardized. These third-party collaborators and their contract manufacturers and suppliers would also be subject to many of the same risks we face in developing our own manufacturing capabilities, as described elsewhere in these Risk Factors. Any delay or interruption in the supply of clinical trial supplies could delay the completion of clinical trials, increase the costs associated with maintaining clinical trial programs and, depending upon the period of delay, could require us to either conduct additional clinical trials at additional expense or terminate clinical trials completely. Each risk could delay our clinical trials, any potential approval of our product candidates by the FDA, or the commercialization of our product candidates, and could result in higher costs or deprive us of potential product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Risks Pertaining to Our Common Shares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The market price of our common shares has been and may continue to be volatile, and you could lose all or part of your investment.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price of our common shares has been and is likely to continue to be highly volatile. The stock market in general, and biotechnology companies in particular, especially small cap and microcap companies, have experienced extreme price and volume fluctuations that have often been unrelated or disproportionate to their operating performance. Broad market and industry factors may negatively affect the market price of our common shares, regardless of our actual operating performance, financial condition or progress in development of our product candidates. The market price for our common stock may be influenced by a variety of factors, some of which are beyond our control,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progress or completion of clinical trials of our product candidates, OpRegen in particular, as to which Roche has sole discretion and control over its clinical development, or other changes in the development status of or anticipated development timeline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results of clinical and nonclinical studies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laws or regulations applicable to our product candidates, including but not limited to clinical trial and manufacturing requirements for regulatory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concerning the manufacture or supply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unanticipated serious safety concerns related to the use of our product candidates or third-party product candidates perceived to be similar;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regulatory submissions related to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regulatory decisions relating to our product candidates or third-party product candidates perceived to be similar or competitive to ours;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establish or maintain important collaborations and license agreements, including any material disputes or amendments;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of strategic collaborations or significant licenses, acquisitions or dispositions, joint ventures or capital commitments by us or companies perceived to be comparable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additions or departures of key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cash position and the level of expenses related to development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or expectations of additional financing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our common shares by us, our insiders or other shareholders;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trading volume of our common shares;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market valuation of companies perceived to be comparable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variations in our operating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accounting policies and practices or material weakness or ineffectiveness of our internal controls or disclosure controls;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disagreements with our auditor or termination of an auditor engagement;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or other developments relating to proprietary rights, including patents and trade secrets, or other avenues of market exclusivity for our product candidates or products and product candidates perceived to be competitive to ours;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lawsuits, including intellectual property, product liability or shareholder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publication of research reports about us or our industry, or cell therapies in particular, or positive or negative recommendations or withdrawal of research coverage by securities analysts;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actual or potential suspension of trading or delisting of our common shares by stock exchanges.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inclusion or exclusion of our common shares in or from stock indices such as the Russell 3000® Index;</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business disruptions caused by natural or manmade disasters, prolonged public health emergencies, such as the COVID-19 pandemic, and wars and other armed conflicts, such as the ongoing wars between Russia and Ukraine and between Israel and Hamas;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 conditions in the biotechnology sector and general political and economic conditions, including the legal, political and economic uncertainty related to the upcoming 2024 U.S. Presidential election;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factors described in this Risk Factors section.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past, securities class action litigation has often been instituted against companies following periods of volatility in the market price of their shares. This type of litigation, if instituted against us, could result in substantial costs and a diversion of our management’s attention and resources, which could materially and adversely affect our business and financial condition.</w:t>
      </w:r>
    </w:p>
    <w:p>
      <w:pPr>
        <w:pStyle w:val="TextBody"/>
        <w:bidi w:val="0"/>
        <w:spacing w:before="360" w:after="283"/>
        <w:jc w:val="both"/>
        <w:rPr>
          <w:rFonts w:ascii="Times New Roman" w:hAnsi="Times New Roman"/>
          <w:sz w:val="20"/>
        </w:rPr>
      </w:pPr>
      <w:r>
        <w:rPr>
          <w:rFonts w:ascii="Times New Roman" w:hAnsi="Times New Roman"/>
          <w:b/>
          <w:color w:val="000000"/>
          <w:sz w:val="20"/>
        </w:rPr>
        <w:t>Because we do not intend to pay cash dividends, our common shares may not be a suitable investment for anyone who needs to earn dividend income.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pay cash dividends on our common shares. For the foreseeable future, we anticipate that any earnings generated in our business will be used to finance the growth of our business and will not be paid out as dividends to holders of our common shares. This means that any return to our shareholders will be limited to the appreciation of their shares and, therefore, our common shares may not be a suitable investment for anyone who needs to earn dividend income from their investments.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Insiders continue to have substantial influence over our company, which could limit your ability to influence the outcome of key transactions, including a change of control.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directors, executive officers and their affiliates, in the aggregate, owned approximately 24.3% of our outstanding common shares as of December 31, 2023 and approximately 26.2% of our outstanding common shares as of March 1, 2024 as a result of the purchase by certain of our directors or their affiliates in our registered direct offering completed in February 2024. As a result, these shareholders, if acting together, will be able to heavily influence or control matters requiring approval by our shareholders, including the election of directors and the approval of mergers, acquisitions or other extraordinary transactions. They may also have interests that differ from yours and may vote in a way with which you disagree, and which may be averse to your interests. This concentration of ownership may have the effect of delaying, preventing or deterring a change of control of our company, could deter certain public investors from purchasing our common shares and might ultimately affect the market price of our common shares.</w:t>
      </w:r>
    </w:p>
    <w:p>
      <w:pPr>
        <w:pStyle w:val="TextBody"/>
        <w:bidi w:val="0"/>
        <w:spacing w:before="360" w:after="283"/>
        <w:jc w:val="both"/>
        <w:rPr>
          <w:rFonts w:ascii="Times New Roman" w:hAnsi="Times New Roman"/>
          <w:sz w:val="20"/>
        </w:rPr>
      </w:pPr>
      <w:r>
        <w:rPr>
          <w:rFonts w:ascii="Times New Roman" w:hAnsi="Times New Roman"/>
          <w:b/>
          <w:color w:val="000000"/>
          <w:sz w:val="20"/>
        </w:rPr>
        <w:t>If we or our subsidiaries issue additional common shares or preferred shares, investors in our common shares may experience dilution of their ownership interests.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and our subsidiaries may issue additional common shares or other securities convertible into or exercisable for common shares to raise additional capital or to hire or retain employees or consultants, or in connection with future acquisitions of companies or licenses to technology or rights, in settlement of lawsuits, or for other business purposes. The future issuance of additional securities may be dilutive to our shareholders and may create downward pressure on the trading price of our common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articles of incorporation, as amended, authorize us to issue an aggregate of 452,000,000 shares of capital stock consisting of 450,000,000 common shares and 2,000,000 “blank check” preferred shares, which means we may issue, without shareholder approval, one or more series of preferred shares having such designation, powers, privileges, preferences, including preferences over our common shares respecting dividends and distributions, terms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redemption and relative participation, optional, or other rights, if any, of the shares of each such series of preferred shares and any qualifications, limitations or restrictions thereof, as our board of directors may determine. The terms of one or more series of preferred shares could dilute the voting power or reduce the value of our common shares. Any preferred shares may also be convertible into common shares on terms that would be dilutive to holders of common shares. Our subsidiaries may also issue their own preferred shares with a similar impact on our ownership of the subsidiaries.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we had 21,663,463 common shares reserved for issuance upon the exercise of outstanding options and 667,869 common shares reserved for issuance upon the vesting and settlement of restricted stock units awarded under our equity incentive plans. The exercise of outstanding options and vesting and settlement of outstanding restricted stock units would be dilutive to our existing shareholders.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used “at the market” (“ATM”) offerings of our common shares to raise substantial capital. For information regarding such sales of our common shares see “At the Market (‘ATM’) Offering” in Note 11 (Shareholders’ Equity) to our consolidated financial statements included in this report. We may continue to use ATM offerings to fund our operations. As of March 1, 2024, $40 million was available for sale under our ATM offering program. Additional sales of our common shares in our ATM offering may result in substantial dilution to our existing shareholders and such sales, or the anticipation of such sales, may cause the market price of our common shares to decline.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operation of some of our subsidiaries has been financed in part through the sale of shares of capital stock and warrants to purchase securities of those subsidiaries to private investors. Future sales of such securities by our subsidiaries could reduce our ownership interest in the applicable subsidiary, and correspondingly dilute our shareholders’ ownership interests in our consolidated enterprise.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There is no assurance that we will be able to maintain compliance with the NYSE American’s continued listing standards, and failure to do so could result in the suspension of trading or delisting of our common shares, which could substantially impair our shareholders’ ability to sell their shares and our ability to raise additional 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common shares are listed on the NYSE American. To maintain our listing, we must satisfy several continued listing standards, including financial condition and/or operating results standards, market value and distribution standards, a low selling price standard, and corporate governance standards. For example, for as long as we have net losses for our five most recent fiscal years, the exchange may consider delisting our common shares if our shareholders’ equity is less than $6 million, and under the low selling price standard, if the exchange determines our common shares have been selling for a substantial period of time at a low price per share, which we believe would be an average of less than $0.20 over 30 days, and we fail to effect a reverse stock split within a reasonable time after being notified by the exchange, the exchange will consider delisting our common shares. In addition, any developments which substantially reduce the size of our company, the nature and scope of our operations, the value or amount of our securities available for the market, or the number of shareholders, may occasion a review of continued listing by the exchange. If a security sells at a price below $0.06, the exchange may immediately suspend the security from further trading on the exchange. We cannot assure you that we will be able to continue to meet the NYSE American’s continued listing requirements.</w:t>
      </w:r>
    </w:p>
    <w:p>
      <w:pPr>
        <w:pStyle w:val="TextBody"/>
        <w:bidi w:val="0"/>
        <w:spacing w:before="240" w:after="283"/>
        <w:jc w:val="both"/>
        <w:rPr>
          <w:rFonts w:ascii="Times New Roman" w:hAnsi="Times New Roman"/>
          <w:sz w:val="20"/>
        </w:rPr>
      </w:pPr>
      <w:r>
        <w:rPr>
          <w:rFonts w:ascii="Times New Roman" w:hAnsi="Times New Roman"/>
          <w:color w:val="000000"/>
          <w:sz w:val="20"/>
        </w:rPr>
        <w:t>The suspension or delisting of our common shares, or the commencement of delisting proceedings, for whatever reason could, among other things, substantially impair our ability to raise additional capital; result in the loss of interest from institutional investors, result in restrictions or prohibitions on brokers from trading in our common shares, result in the loss of confidence in our company by shareholders, collaborators and employees, and result in fewer financing, strategic and business development opportunities. The suspension or delisting of our common shares, or the commencement of delisting proceedings for whatever reason may materially impair our shareholders’ ability to buy and sell shares of our common shares and could have an adverse effect on the market price of, and the efficiency of the trading market for, our common shares. In addition, our common shares have been included in the Russell 3000</w:t>
      </w:r>
      <w:r>
        <w:rPr>
          <w:rFonts w:ascii="Times New Roman" w:hAnsi="Times New Roman"/>
          <w:color w:val="000000"/>
          <w:sz w:val="13"/>
        </w:rPr>
        <w:t>®</w:t>
      </w:r>
      <w:r>
        <w:rPr>
          <w:rFonts w:ascii="Times New Roman" w:hAnsi="Times New Roman"/>
          <w:color w:val="000000"/>
          <w:sz w:val="20"/>
        </w:rPr>
        <w:t xml:space="preserve"> Index from time to time. In the short term, inclusion in the index may favorably impact the price, trading volume, and liquidity of our common shares, in part, because holders attempting to track the composition of that index may have been required to buy our common shares, which could cause a material increase in the price at which our common shares trades. If our common shares are removed from the index because they do not meet the criteria for continued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inclusion, index funds, institutional investors, or other holders attempting to track the composition of that index may be required to sell our common shares, which would adversely impact the price and frequency at which our common shares trade.</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240" w:after="283"/>
        <w:jc w:val="both"/>
        <w:rPr>
          <w:rFonts w:ascii="Times New Roman" w:hAnsi="Times New Roman"/>
          <w:sz w:val="20"/>
        </w:rPr>
      </w:pPr>
      <w:r>
        <w:rPr>
          <w:rFonts w:ascii="Times New Roman" w:hAnsi="Times New Roman"/>
          <w:b/>
          <w:color w:val="000000"/>
          <w:sz w:val="20"/>
        </w:rPr>
        <w:t>We are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ordinary course of business, we collect, receive, store, process, generate, use, transfer, disclose, make accessible, protect, secure, dispose of, transmit, and share (collectively, processing) personal data and other sensitive information, including data we collect about trial participants in connection with clinical trials. As a result, we are, or may become, subject to numerous data privacy and security requirements related to data privacy, security, protection and transfer under federal, state, local, and foreign laws, regulations, guidance, and industry standards. See Item 1. "Business—Government Regulation—Privacy and Data Security Laws,” above. These requirements may be subject to differing applications and interpretations, which may be inconsistent or conflict among jurisdictions. Preparing for and complying with these requirements requires significant resources and may necessitate changes to our information technologies, systems, and practices and to those of any third parties that process personal data on our behalf.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or our personnel or third parties upon whom rely, fail, or are perceived to have failed, to address or comply with applicable data privacy, security, protection and transfer requirements, we could face significant consequences. These consequences may include, but are not limited to, government enforcement actions (e.g., investigations, fines, penalties, audits, inspections, and similar); litigation (including class-related claims); additional reporting requirements and/or oversight; bans on processing personal data; and orders to destroy or not use personal data. Any of these events could have a material adverse effect on our reputation, business, or financial condition, including but not limited to: loss of customers; interruptions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 In the United States, privacy and security obligations are often enforced under deceptive and unfair trade practice laws, using theories that a company’s activities were either misleading or unfair.</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and other adverse consequences.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dependent on information technology systems and infrastructure to operate our business. In the ordinary course of our business, we may process confidential, and sensitive, including personal data (such as health-related data), intellectual property, and proprietary business information (collectively, sensitive information). We have also outsourced some of our operations (including parts of our information technology infrastructure) to a number of third-party service providers who may have, or could gain, access to sensitive information. In addition, many of those third parties, in turn, subcontract or outsource some of their responsibilities to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Cyberattacks, malicious internet-based activity, and online and offline fraud are increasing in frequency, persistence, sophistication and intensity. These threats come from a variety of sources, including traditional computer “hackers,” threat actors, personnel (such as through theft or misuse), sophisticated nation states, and nation-state-supported actors. Some actors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cyberattacks that could materially disrupt our systems and operations, supply chain, and ability to produce, sell and distribute our products. In particular, the Israel-Hamas war may increase the risk that state-sponsored parties or their supporters launch cyberattacks or carry out other geopolitically motivated retaliatory actions that adversely disrupt our operations in Israel. We and the third parties upon which we rely may be subject to a variety of evolving threats, including, but not limited to, malware (including as a result of persistent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threat intrusions), malicious code (such as viruses and worms), ransomware attacks, denial-of-service attacks (such as credential stuffing), social engineering attacks (including phishing attacks), personnel misconduct or error, supply-chain attacks, software bugs, server malfunctions, software or hardware failures, loss of data or other technology assets, adware, telecommunication failures, earthquakes, fires, floods, and other similar threats. Although the aggregate impact on our operations and financial condition has not been material to date, we have been the target of events of this nature and expect them to continue.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These vulnerabilities may be heightened as a result of flexible work arrangements, including hybrid or remote work policies implemented by us and our third-party service providers, that were first adopted in response to the COVID-19 pandemic and have continued by many businesses.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and our services. Moreover, the prevalent use of mobile devices by our employees and third-party service providers to access confidential information increases the risk to our information technology systems and data. Future or past business transactions (such as acquisitions or integrations) could also expose us to additional cybersecurity risks and vulnerabilities, as our systems could be negatively affected by vulnerabilities present in acquired or integrated entities’ systems and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the previously identified or similar threats could cause a security incident or other interruption that could result in unauthorized, unlawful, or accidental acquisition, modification, destruction, loss, alteration, encryption, disclosure of, or access to our proprietary or sensitive information. A security incident or other interruption could disrupt our ability (and that of third parties upon whom we rely) to conduct our business operations and divert significant resources. Though we have insurance that may cover some of the costs and fees resulting from a cyberattack, data security incident, or data breach, that insurance may not cover, or be sufficient to cover, all of the costs, losses, damages, fines, and penalties that may arising from a data security incident or to mitigate liabilities arising therefrom. In addition, such insurance may not continue to be available on commercially reasonable terms or at all.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expend significant resources or modify our business activities to try to protect against security incidents. Certain data privacy and security obligations may require us to implement and maintain specific security measures and tools, industry-standard or reasonable security measures to protect our information technology systems and proprietary and sensitive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have implemented security measures to protect our information technology systems and infrastructure, there can be no assurance that such measures will prevent cyberthreats, cyberattacks, security incidents, data breaches, malware, ransomware attacks and other disruptions that could adversely affect our business. We may be unable in the future to detect vulnerabilities in our information technology systems because such threats and techniques change frequently, are often sophisticated in nature, and may not be detected until after a security incident has occurred. Despite our efforts to identify and remediate vulnerabilities, if any, in our information technology systems, our efforts may not be successful. Further, we may experience delays in developing and deploying remedial measures designed to address any such identified vulnerabilities. In addition, failure to maintain effective internal accounting controls related to security incidents and cybersecurity in general could impact our ability to produce timely and accurate financial statements and subject us to regulatory scrutiny.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Applicable data privacy and security obligations, including data breach notification laws in the US and elsewhere, may require us to notify relevant stakeholders of security incidents.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financial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obligations to third parties, indemnification obligations; negative publicity; reputational harm; monetary fund diversions; interruptions in our operations (including availability of data); financial loss; and other similar harms. Security incidents and attendant consequences may cause interruptions in our operations and could result in a material disruption of our programs. For example, the loss of clinical trial or nonclinical study data for our product candidates could result in delays in our regulatory approval efforts and significantly increase our costs due to additional time and resources necessary to recover and verify or potentially reproduce the data.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Failure of our internal control over financial reporting could harm our business and financial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Because of its inherent limitations, internal control over financial reporting is not intended to provide absolute assurance that a misstatement of our financial statements would be prevented or detected. Our growth and entry into new products, technologies and markets will place significant additional pressure on our system of internal control over financial reporting. Any failure to maintain an effective system of internal control over financial reporting could limit our ability to report our financial results accurately and timely or to detect and prevent fraud. Having Cell Cure located in a foreign country also adds to the complexity of our internal control over financial reporting and adds to the risk of a system failure, an undetected improper use or expenditure of funds or other resources by a subsidiary, or a failure to properly report a transaction or financial results of a subsidiary. We allocate certain expenses among Lineage itself and one or more of our subsidiaries, which creates a risk that the allocations we make may not accurately reflect the benefit of an expenditure or use of financial or other resources by Lineage as the parent company and the subsidiaries among which the allocations are made. An inaccurate allocation may impact our consolidated financial results, particularly in the case of subsidiaries that we do not wholly own since our financial statements include adjustments to reflect the minority ownership interests in our subsidiaries held by others.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identify material weaknesses in our internal control over financial reporting, if we are unable to comply with the requirements of Section 404 of the Sarbanes-Oxley Act in a timely manner or assert that our internal control over financial reporting is effective, or, when required, if our independent registered public accounting firm is unable to express an opinion or expresses a qualified or adverse opinion about the effectiveness of our internal control over financial reporting, investors may lose confidence in the accuracy and completeness of our financial reports and the market price of our common shares could be negatively affected. In addition, we could become subject to investigations by the NYSE American, the SEC, and other regulatory authorities, which could require additional financial and management resources.</w:t>
      </w:r>
    </w:p>
    <w:p>
      <w:pPr>
        <w:pStyle w:val="TextBody"/>
        <w:bidi w:val="0"/>
        <w:spacing w:before="360" w:after="283"/>
        <w:jc w:val="both"/>
        <w:rPr>
          <w:rFonts w:ascii="Times New Roman" w:hAnsi="Times New Roman"/>
          <w:sz w:val="20"/>
        </w:rPr>
      </w:pPr>
      <w:r>
        <w:rPr>
          <w:rFonts w:ascii="Times New Roman" w:hAnsi="Times New Roman"/>
          <w:b/>
          <w:color w:val="000000"/>
          <w:sz w:val="20"/>
        </w:rPr>
        <w:t>Unfavorable macroeconomic conditions and wars or armed conflicts could have an adverse impact on our business, financial condition and results of operations, including our clinical trials.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results of operations are affected by prevailing economic and political conditions and other factors beyond our control, such as the rate of inflation, fluctuations in costs, particularly due to changes in labor costs and material costs, levels of business confidence, and wars or armed conflicts.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existence of inflation in the economy has resulted in, and may continue to result in, higher interest rates and capital costs, supply shortages, increased costs of labor, components, manufacturing and shipping, as well as weakening exchange rates and other similar effects. As a result of inflation, we may experience cost increases. Changes in other economic conditions, including rising interest rates, lower consumer confidence, and volatile equity capital markets, may also affect our business. Although we may take measures to mitigate the effects of economic conditions, if these measures are not effective, our business, financial condition, results of operations and liquidity could be materially adversely affected. Even if such measures are effective, there could be a difference between the timing of when the benefits of such measures and the effects of such conditions impact our results of operations. Given these economic considerations, among other potential consequences, cost increases may outpace our expectations, causing us to use our cash and other liquid assets faster than forecasted. If this happens, we may need to raise additional capital to fund our operations sooner than expected, which may not be available in sufficient amounts or on reasonable terms, if at all. See also the discussion in this Risk Factors section under “We will need to obtain substantial additional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funding to complete the development and seek regulatory approval of our product candidates and to commercialize products approved for marketing, if any. If we are unable to obtain adequate capital when needed, we may delay, reduce, limit the pace of, suspend or discontinue our product and technology development programs or other operations, which could significantly harm our business and prospects and cause the market price of our common shares to decline.” In addition, if the risks described in this paragraph materialize, the possibility of other risks described herein materializing and/or the impact of those risks may increase.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Israel-Hamas war, the war in Ukraine and the uncertain nature, magnitude, and duration of those conflicts and the potential effect of sanctions and other measures being imposed in response thereto have contributed to increased levels of economic and political uncertainty, which could have an adverse impact on macroeconomic factors that affect the financial markets, the global economy and our business and operations. See also the risk titled, “All of our manufacturing operations currently are conducted at our facility in Jerusalem, Israel. Accordingly, political and economic conditions in Israel and war, terrorist attacks or other armed conflicts involving Israel, such as the Israel-Hamas war that began in October 2023, could directly affect our business. Any event or condition that significantly disrupts our ordinary course of operations at our Jerusalem facility could harm our business and materially and adversely affect our financial condition and operating results,” above. Additionally, the ongoing wars may disrupt the ability of third parties on which we rely to perform in accordance with our expectations, including CROs to conduct clinical trials. Moreover, enrollment and retention of clinical trial participants may be adversely affected. We cannot be certain what the overall impact of ongoing wars will be on our ability to conduct and complete our clinical trials on schedule. However, interruptions of our clinical trials could significantly delay our clinical development plans and potential authorization or approval of our product candidates, which could increase our costs and jeopardize our ability to successfully commercialize our product candidates.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Adverse litigation judgments or settlements resulting from legal proceedings in which we may be involved could expose us to monetary damages or limit our ability to operate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2023 we settled a putative shareholder class action lawsuit and a product liability lawsuit, and may in the future become involved in other class actions, derivative actions, private actions, collective actions, investigations, and various other legal proceedings by shareholders, collaborators, clinical trial participants, employees, suppliers and other vendors, service providers, competitors, government agencies, or others. The results of any such litigation, investigations, and other legal proceedings are inherently unpredictable and expensive. Although some of the costs and expenses of such claims may be covered by insurance, any claims against us, whether meritorious or not, could be time consuming, result in costly litigation, damage our reputation, require significant amounts of management time, and divert significant resources. Additionally, a dramatic increase in the cost of directors’ and officers’ liability insurance may cause us to opt for lower overall policy limits or to forgo insurance that we may otherwise rely on to cover significant defense costs, settlements, and damages awarded to plaintiffs. If any of these legal proceedings were to be determined adversely to us, or we were to enter into a settlement arrangement, we could be exposed to monetary damages or limits on our ability to operate our business, which could have an adverse effect on our business, financial condition, results of operations and prospects. In addition, the uncertainty associated with material litigation could lead to increased volatility in our stock price.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business could be negatively impacted by environmental, social and corporate governance (“ESG”) matters or our reporting of such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is an increasing focus from certain investors, employees, collaborators, and other stakeholders concerning ESG matters. While we have internal efforts directed at ESG matters and preparations for any increased required future disclosures, we may be perceived to be not acting responsibly in connection with these matters, which could negatively impact us. Moreover, the SEC has recently proposed, and may continue to propose, certain mandated ESG reporting requirements, such as the SEC’s proposed rules designed to enhance and standardize climate-related disclosures, which, if adopted, would significantly increase our compliance and reporting costs and may also result in disclosures that certain investors or other stakeholders deem to negatively impact our reputation, which could adversely affect the price of our common shares. At the same time, anti-ESG sentiment has gained some momentum across the United States, with several states having enacted or proposed “anti-ESG” policies or legislation, which may conflict with other laws or regulations. The criteria by which companies’ ESG practices are assessed are evolving, which could result in greater expectations of us and cause us to undertake costly initiatives to satisfy such new criteria. Alternatively, if we elect not to or are unable to satisfy new criteria or do not meet the criteria of a specific third-party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provider of ESG ratings, some investors may conclude that our policies with respect to ESG are inadequate and choose not to invest in us.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business could be negatively affected as a result of actions of activist shareholders, and such activism could affect the trading value of our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Shareholders may, from time to time, engage in proxy solicitations or advance shareholder proposals, or otherwise attempt to effect changes and assert influence on our board of directors and management, and the SEC’s “universal proxy” rules could significantly lower the cost and increase the ease and likelihood of shareholder activism. Activist campaigns that contest or conflict with our strategic direction or seek changes in the composition of our board of directors could have an adverse effect on our operating results and financial condition. A proxy contest would require us to incur significant legal and advisory fees, proxy solicitation expenses and administrative and associated costs and require significant time and attention by our board of directors and management, diverting their attention from the pursuit of our business strategy. Any perceived uncertainties as to our future direction and control, our ability to execute on our strategy, or changes to the composition of our board of directors or senior management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collaboration partners, any of which could adversely affect our business and operating results. If individuals are ultimately elected to our board of directors with a specific agenda, it may adversely affect our ability to effectively implement our current business strategy. We may choose to initiate, or may become subject to, litigation as a result of a proxy contest or matters arising from a proxy contest, which would serve as a further distraction to our board of directors and management and would require us to incur significant additional costs. In addition, actions such as those described above could cause significant fluctuations in the price of our common shares based upon temporary or speculative market perceptions or other factors that do not necessarily reflect the underlying fundamentals and prospects of our business. Furthermore, the trading value of and demand for our common shares could be adversely affected by allegations made or reports issued by short sellers, analysts, activists or others regarding our business, further influencing volatility in the market price of our common shares.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Securities analysts may not initiate coverage or continue to cover our common shares, and this may have a negative impact on the market price of our common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market for our common shares depends, in part, on the research and reports that securities analysts publish about our business and our common shares. We do not have any control over these analysts. Although certain securities analysts currently cover us and our common shares, there is no guarantee that such analysts will continue to provide such coverage or that other analysts will initiate such coverage. If securities analysts do not cover us and our common shares and/or fail to publish regular reports on our business, we could lose visibility in the financial markets, which could cause our share price or trading volume to decline. If securities analysts do cover us and our common shares, they could issue reports or recommendations that are unfavorable to the price of our common shares, and they could downgrade a previously favorable report or recommendation, and in either case our share price could decline as a result of the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5" w:name="item_1b_unresolved_staff_comments"/>
      <w:bookmarkEnd w:id="5"/>
      <w:r>
        <w:rPr>
          <w:rFonts w:ascii="Times New Roman" w:hAnsi="Times New Roman"/>
          <w:b/>
          <w:color w:val="000000"/>
          <w:sz w:val="20"/>
        </w:rPr>
        <w:t>ITEM 1B. UNRESOLVED STAFF COMMENTS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6" w:name="item_3c_cybersecurity"/>
      <w:bookmarkEnd w:id="6"/>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1C. CYBERSECURITY</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certain processes and policies in place to assess, identify and manage material cybersecurity risks. We also periodically monitor and test our information systems for potential vulnerabilities. We use various tools designed to help identify, investigate and resolve cybersecurity incidents, and to help recover from them in a timely manner. These processes, policies and tools comprise our cybersecurity risk program, and are integrated into our overall risk management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an Information Technology Policy that sets parameters for the use, privacy, security, retention, and disposal of our information and other assets. We also have an Incident Response Policy which sets forth the steps for assessment, containment, and disclosure of cybersecurity threats. These policies were prepared using relevant guidance and technology standards and are reviewed periodically.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collaborate with third parties to assess the effectiveness of our cybersecurity risk program and have assessed it against the National Institute of Standards and Technology (“NIST”) cybersecurity framework. In addition, we consider the internal risk oversight programs of third-party service providers with whom we engage in order to help protect us from any related cybersecurity vulnerabilities.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our cybersecurity risk program, we provide all of our employees with periodic cybersecurity training, which covers timely and relevant topics, including social engineering, phishing, password protection, confidential data protection, asset use and mobile security, and educates employees on the importance of reporting all incidents immediately.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are subject to cybersecurity risks, to date, none have materially affected our company, including our business strategy, results of operations, or financial condition. Notwithstanding our cybersecurity risk program, we may not be successful in preventing or mitigating a cybersecurity incident that could have a material adverse effect on our company. See Item 1A. “Risk Factors” for a discussion of cybersecurity risks.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Governance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board of directors oversees our risk management process directly and through its committees. The audit committee of our board of directors has the power and responsibility to coordinate our board’s oversight over our risk management procedures and to discuss with our management our policies with respect to risk assessment and risk management. Our board of directors has delegated to its audit committee oversight authority of our information security (including cybersecurity) risk management.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Primary responsibility for assessing, monitoring and managing our cybersecurity risks rests with our Senior Director, Human Resources &amp; Infrastructure, who together with our Chief Financial Officer and General Counsel, work in close partnership with our outside information technology and cybersecurity consulting firm, and collectively, comprise the core team members of our Rapid Response Team under our Incident Response Policy. The Rapid Response Team is made up of a broad range of participants with relevant education, skills, and experience to investigate cybersecurity threats and assess the materiality thereof to determine internal reporting to our audit committee and board of directors, as well as external reporting or disclosure requirements. Management provides at least quarterly updates to the audit committee, and in turn management and the audit committee provide periodic updates to our board of directors, regarding ongoing cybersecurity risk assessments and related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7" w:name="item_2_properties"/>
      <w:bookmarkEnd w:id="7"/>
      <w:r>
        <w:rPr>
          <w:rFonts w:ascii="Times New Roman" w:hAnsi="Times New Roman"/>
          <w:b/>
          <w:color w:val="000000"/>
          <w:sz w:val="20"/>
        </w:rPr>
        <w:t>ITEM 2. PROPERTIES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lease all the properties from which we operate our business. In general, we believe that our properties are well-maintained, adequate and suitable for our current operations and for our operations in the foreseeable future. See Note 14 (Commitments and Contingencies) to our consolidated financial statements included in this report for additional information regarding the properties we lease.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Lineage Facilities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corporate headquarters are in an office park in Carlsbad, California. We also lease industrial space adjacent to our corporate headquarters. The lease for office space we previously leased in Alameda, California expired on January 31, 2023.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Cell Cure Facilities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various leases, Cell Cure leases office and laboratory space in the Bio Park on the campus of the Hadassah University Hospital in Jerusalem, Israel.</w:t>
      </w:r>
    </w:p>
    <w:p>
      <w:pPr>
        <w:pStyle w:val="TextBody"/>
        <w:bidi w:val="0"/>
        <w:spacing w:before="360" w:after="283"/>
        <w:jc w:val="left"/>
        <w:rPr>
          <w:rFonts w:ascii="Times New Roman" w:hAnsi="Times New Roman"/>
          <w:b/>
          <w:color w:val="000000"/>
          <w:sz w:val="20"/>
        </w:rPr>
      </w:pPr>
      <w:bookmarkStart w:id="8" w:name="item_3_legal_proceedings"/>
      <w:bookmarkEnd w:id="8"/>
      <w:r>
        <w:rPr>
          <w:rFonts w:ascii="Times New Roman" w:hAnsi="Times New Roman"/>
          <w:b/>
          <w:color w:val="000000"/>
          <w:sz w:val="20"/>
        </w:rPr>
        <w:t>ITEM 3.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not currently a party to any material legal proceedings. From time-to-time we may be involved in a variety of legal proceedings. Such proceedings may initially be viewed as immaterial but could later prove to be material. Legal proceedings are inherently unpredictable and excessive verdicts do occur. Given the inherent uncertainties in litigation, even when we can reasonably estimate the amount of possible loss or range of loss and reasonably estimable loss contingencies, the actual outcome may change in the future due to new developments or changes in approach. In addition, legal proceedings could involve significant expense and diversion of management’s attention and resources from other matters. For a discussion of legal proceedings in which we are involved, see Note 14 (Commitments and Contingencies) to our consolidated financial statements included in this report.</w:t>
      </w:r>
    </w:p>
    <w:p>
      <w:pPr>
        <w:pStyle w:val="TextBody"/>
        <w:bidi w:val="0"/>
        <w:spacing w:before="360" w:after="283"/>
        <w:jc w:val="left"/>
        <w:rPr>
          <w:rFonts w:ascii="Times New Roman" w:hAnsi="Times New Roman"/>
          <w:b/>
          <w:color w:val="000000"/>
          <w:sz w:val="20"/>
        </w:rPr>
      </w:pPr>
      <w:bookmarkStart w:id="9" w:name="item_4_mine_safety_disclosures"/>
      <w:bookmarkEnd w:id="9"/>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0" w:name="part_ii"/>
      <w:bookmarkEnd w:id="10"/>
      <w:r>
        <w:rPr>
          <w:rFonts w:ascii="Times New Roman" w:hAnsi="Times New Roman"/>
          <w:b/>
          <w:color w:val="000000"/>
          <w:sz w:val="20"/>
        </w:rPr>
        <w:t>PART II</w:t>
      </w:r>
    </w:p>
    <w:p>
      <w:pPr>
        <w:pStyle w:val="TextBody"/>
        <w:bidi w:val="0"/>
        <w:spacing w:before="240" w:after="283"/>
        <w:jc w:val="both"/>
        <w:rPr>
          <w:rFonts w:ascii="Times New Roman" w:hAnsi="Times New Roman"/>
          <w:b/>
          <w:color w:val="000000"/>
          <w:sz w:val="20"/>
        </w:rPr>
      </w:pPr>
      <w:bookmarkStart w:id="11" w:name="item_5_market_for_registrants"/>
      <w:bookmarkEnd w:id="11"/>
      <w:r>
        <w:rPr>
          <w:rFonts w:ascii="Times New Roman" w:hAnsi="Times New Roman"/>
          <w:b/>
          <w:color w:val="000000"/>
          <w:sz w:val="20"/>
        </w:rPr>
        <w:t>ITEM 5. MARKET FOR REGISTRANT’S COMMON EQUITY, RELATED STOCKHOLDER MATTERS, AND ISSUER PURCHASES OF EQUITY SECURITIES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common shares are listed on the NYSE American and on the Tel Aviv Stock Exchange under the ticker symbol LCTX.</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1, 2024, there were approximately 358 record holders of our common shares. The number of beneficial owners of our common shares is substantially greater than the number of record holders because a large portion of our common shares is held of record through brokerage firms in “street name”.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paid cash dividends on our common shares and we do not anticipate paying cash dividends on our common shares in the foreseeable future. Any future determination to declare cash dividends will be made at the discretion of our board of directors, subject to applicable laws and contractual limitations, and will depend on our financial condition, results of operations, capital requirements, general business conditions and other factors that our board of directors may deem relevant.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Except as previously reported in our quarterly reports on Form 10-Q and current reports on Form 8-K filed with the SEC, during the year ended December 31, 2023, there were no unregistered sales of equity securities by us during the year ended December 31, 2023.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12" w:name="item_6_reserved"/>
      <w:bookmarkEnd w:id="12"/>
      <w:r>
        <w:rPr>
          <w:rFonts w:ascii="Times New Roman" w:hAnsi="Times New Roman"/>
          <w:b/>
          <w:color w:val="000000"/>
          <w:sz w:val="20"/>
        </w:rPr>
        <w:t>ITEM 6. RESERVED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13" w:name="item_7_managements_discussion"/>
      <w:bookmarkEnd w:id="13"/>
      <w:r>
        <w:rPr>
          <w:rFonts w:ascii="Times New Roman" w:hAnsi="Times New Roman"/>
          <w:b/>
          <w:color w:val="000000"/>
          <w:sz w:val="20"/>
        </w:rPr>
        <w:t>ITEM 7. MANAGEMENT’S DISCUSSION AND ANALYSIS OF FINANCIAL CONDITION AND RESULTS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Management’s Discussion and Analysis of Financial Condition and Results of Operations is intended to provide information necessary to understand our audited consolidated financial statements for the two-year period ended December 31, 2023, and highlight certain other information which, in the opinion of management, will enhance a reader’s understanding of our financial condition, changes in financial condition and results of operations. In particular, the discussion is intended to provide an analysis of significant trends and material changes in our financial position and the operating results of our business during the year ended December 31, 2023 as compared to the year ended December 31, 2022. This discussion should be read in conjunction with our consolidated financial statements and related notes included elsewhere in this report. These historical financial statements may not be indicative of our future performance. This Management’s Discussion and Analysis of Financial Condition and Results of Operations contains a number of forward-looking statements, all of which are based on our current expectations and could be affected by the uncertainties and risks described throughout this report, particularly in “Item 1A. Risk Factors.”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Company and Business Overview</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are a clinical-stage biotechnology company developing novel allogeneic, or "off-the-shelf," cell therapies to address unmet medical needs. Our programs are based on our proprietary cell-based technology platform and associated development and manufacturing capabilities. From this platform, we design, develop, manufacture, and test specialized human cells with anatomical and physiological functions similar or identical to, cells found naturally in the human body. The cells we manufacture are created by applying directed differentiation protocols to established, well-characterized, and self-renewing pluripotent cell lines. These protocols generate cells with characteristics associated with specific and desired developmental lineages. Cells derived from such lineages which are relevant to the underlying condition are transplanted into patients in an effort to (a) </w:t>
      </w:r>
      <w:r>
        <w:rPr>
          <w:rFonts w:ascii="Times New Roman" w:hAnsi="Times New Roman"/>
          <w:i/>
          <w:color w:val="000000"/>
          <w:sz w:val="20"/>
        </w:rPr>
        <w:t>replace</w:t>
      </w:r>
      <w:r>
        <w:rPr>
          <w:rFonts w:ascii="Times New Roman" w:hAnsi="Times New Roman"/>
          <w:color w:val="000000"/>
          <w:sz w:val="20"/>
        </w:rPr>
        <w:t xml:space="preserve"> or support cells that are absent or dysfunctional due to degenerative disease, aging, or traumatic injury, and (b) </w:t>
      </w:r>
      <w:r>
        <w:rPr>
          <w:rFonts w:ascii="Times New Roman" w:hAnsi="Times New Roman"/>
          <w:i/>
          <w:color w:val="000000"/>
          <w:sz w:val="20"/>
        </w:rPr>
        <w:t>restore</w:t>
      </w:r>
      <w:r>
        <w:rPr>
          <w:rFonts w:ascii="Times New Roman" w:hAnsi="Times New Roman"/>
          <w:color w:val="000000"/>
          <w:sz w:val="20"/>
        </w:rPr>
        <w:t xml:space="preserve"> or augment the patient's functional activity.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business strategy is to efficiently leverage our technology platform and our development, formulation, delivery, and manufacturing capabilities to advance our programs internally or in conjunction with strategic partners to further enhance their value and probability of success.</w:t>
      </w:r>
    </w:p>
    <w:p>
      <w:pPr>
        <w:pStyle w:val="TextBody"/>
        <w:bidi w:val="0"/>
        <w:spacing w:before="240" w:after="283"/>
        <w:jc w:val="both"/>
        <w:rPr>
          <w:rFonts w:ascii="Times New Roman" w:hAnsi="Times New Roman"/>
          <w:sz w:val="20"/>
        </w:rPr>
      </w:pPr>
      <w:r>
        <w:rPr>
          <w:rFonts w:ascii="Times New Roman" w:hAnsi="Times New Roman"/>
          <w:color w:val="000000"/>
          <w:sz w:val="20"/>
        </w:rPr>
        <w:t>A significant area of focus is a collaboration we entered into with F. Hoffmann-La Roche Ltd and Genentech, Inc., a member of the Roche Group (collectively or individually, “Roche” or “Genentech”), under which our lead cell therapy program known as OpRegen</w:t>
      </w:r>
      <w:r>
        <w:rPr>
          <w:rFonts w:ascii="Times New Roman" w:hAnsi="Times New Roman"/>
          <w:color w:val="000000"/>
          <w:sz w:val="13"/>
        </w:rPr>
        <w:t>®</w:t>
      </w:r>
      <w:r>
        <w:rPr>
          <w:rFonts w:ascii="Times New Roman" w:hAnsi="Times New Roman"/>
          <w:color w:val="000000"/>
          <w:sz w:val="20"/>
        </w:rPr>
        <w:t xml:space="preserve"> is being developed for the treatment of ocular disorders, including geographic atrophy (“GA”) secondary to age-related macular degeneration (“AMD”). OpRegen (also known as RG6501) is a suspension of human allogeneic retinal pigmented epithelial (“RPE”) cells and is currently being evaluated in a Phase 2a multicenter clinical trial in patients with GA secondary to AMD. OpRegen subretinal delivery has the potential to counteract RPE cell loss in areas of GA lesions by supporting retinal cell health and improving retinal structure and function. Under the terms of the Collaboration and License Agreement we entered into with Roche in December 2021 (the “Roche Agreement”), we received a $50.0 million upfront payment in January 2022 and are eligible to receive up to an additional $620.0 million in developmental, regulatory, and commercialization milestone payments. We also are eligible to receive tiered double-digit percentage royalties on net sales of OpRegen in the U.S. and other major markets.</w:t>
      </w:r>
    </w:p>
    <w:p>
      <w:pPr>
        <w:pStyle w:val="TextBody"/>
        <w:bidi w:val="0"/>
        <w:spacing w:before="240" w:after="283"/>
        <w:jc w:val="both"/>
        <w:rPr>
          <w:rFonts w:ascii="Times New Roman" w:hAnsi="Times New Roman"/>
          <w:sz w:val="20"/>
        </w:rPr>
      </w:pPr>
      <w:r>
        <w:rPr>
          <w:rFonts w:ascii="Times New Roman" w:hAnsi="Times New Roman"/>
          <w:color w:val="000000"/>
          <w:sz w:val="20"/>
        </w:rPr>
        <w:t>Our most advanced unpartnered product candidate is OPC1, an allogeneic oligodendrocyte progenitor cell therapy designed to improve recovery following a spinal cord injury (“SCI”). OPC1 has been tested in two clinical trials to date: a five patient Phase 1 clinical trial in acute thoracic SCI, where all subjects were followed for at least 10 years, and a 25 patient Phase 1/2a multicenter clinical trial in subacute cervical SCI, where all subjects were evaluated for at least two years. Results from both studies have been published in the Journal of Neurosurgery Spine. OPC1 clinical development has been supported in part by a $14.3 million grant from the California Institute for Regenerative Medicine (“CIRM”). In February 2024, we announced the clearance by the FDA of our Investigational New Drug ("IND") amendment for OPC1. Pursuant to the IND amendment, we have initiated activities to open our first clinical site in the DOSED (</w:t>
      </w:r>
      <w:r>
        <w:rPr>
          <w:rFonts w:ascii="Times New Roman" w:hAnsi="Times New Roman"/>
          <w:color w:val="000000"/>
          <w:sz w:val="20"/>
          <w:u w:val="single"/>
        </w:rPr>
        <w:t>D</w:t>
      </w:r>
      <w:r>
        <w:rPr>
          <w:rFonts w:ascii="Times New Roman" w:hAnsi="Times New Roman"/>
          <w:color w:val="000000"/>
          <w:sz w:val="20"/>
        </w:rPr>
        <w:t xml:space="preserve">elivery of </w:t>
      </w:r>
      <w:r>
        <w:rPr>
          <w:rFonts w:ascii="Times New Roman" w:hAnsi="Times New Roman"/>
          <w:color w:val="000000"/>
          <w:sz w:val="20"/>
          <w:u w:val="single"/>
        </w:rPr>
        <w:t>O</w:t>
      </w:r>
      <w:r>
        <w:rPr>
          <w:rFonts w:ascii="Times New Roman" w:hAnsi="Times New Roman"/>
          <w:color w:val="000000"/>
          <w:sz w:val="20"/>
        </w:rPr>
        <w:t xml:space="preserve">ligodendrocyte Progenitor Cells for </w:t>
      </w:r>
      <w:r>
        <w:rPr>
          <w:rFonts w:ascii="Times New Roman" w:hAnsi="Times New Roman"/>
          <w:color w:val="000000"/>
          <w:sz w:val="20"/>
          <w:u w:val="single"/>
        </w:rPr>
        <w:t>S</w:t>
      </w:r>
      <w:r>
        <w:rPr>
          <w:rFonts w:ascii="Times New Roman" w:hAnsi="Times New Roman"/>
          <w:color w:val="000000"/>
          <w:sz w:val="20"/>
        </w:rPr>
        <w:t xml:space="preserve">pinal Cord Injury: </w:t>
      </w:r>
      <w:r>
        <w:rPr>
          <w:rFonts w:ascii="Times New Roman" w:hAnsi="Times New Roman"/>
          <w:color w:val="000000"/>
          <w:sz w:val="20"/>
          <w:u w:val="single"/>
        </w:rPr>
        <w:t>E</w:t>
      </w:r>
      <w:r>
        <w:rPr>
          <w:rFonts w:ascii="Times New Roman" w:hAnsi="Times New Roman"/>
          <w:color w:val="000000"/>
          <w:sz w:val="20"/>
        </w:rPr>
        <w:t xml:space="preserve">valuation of a Novel </w:t>
      </w:r>
      <w:r>
        <w:rPr>
          <w:rFonts w:ascii="Times New Roman" w:hAnsi="Times New Roman"/>
          <w:color w:val="000000"/>
          <w:sz w:val="20"/>
          <w:u w:val="single"/>
        </w:rPr>
        <w:t>D</w:t>
      </w:r>
      <w:r>
        <w:rPr>
          <w:rFonts w:ascii="Times New Roman" w:hAnsi="Times New Roman"/>
          <w:color w:val="000000"/>
          <w:sz w:val="20"/>
        </w:rPr>
        <w:t xml:space="preserve">evice) clinical study, to evaluate the safety and utility of a novel spinal cord delivery device to administer OPC1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spinal parenchyma in subacute and chronic SCI patients. We expect the initial clinical site opening to occur in the second quarter of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neuroscience focused pipeline of allogeneic, or “off-the-shelf”, cell therapy programs currently includes: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RG6501 (OpRegen), an allogeneic RPE cell replacement therapy currently in a Phase 2a multicenter, open-label, single arm clinical trial, being conducted by Genentech, for the treatment of GA secondary to AMD, also known as atrophic or dry AMD.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OPC1, an allogeneic oligodendrocyte progenitor cell therapy which will be evaluated in the DOSED clinical study to test the safety and utility of a novel spinal cord delivery device in both subacute and chronic spinal cord injuries and continues to be evaluated in long-term follow-up from a Phase 1/2a multicenter clinical trial for subacute cervical spinal cord injuries.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ANP1, an allogeneic auditory neuron progenitor cell transplant currently in preclinical development for the treatment of debilitating hearing loss.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PNC1, an allogeneic photoreceptor cell transplant currently in preclinical development for the treatment of vision loss due to photoreceptor dysfunction or damage.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RND1, a novel hypoimmune induced pluripotent stem cell (“iPSC”) line being developed in collaboration with Eterna Therapeutics Inc. (“Eterna”), which will be evaluated for differentiation into cell transplant product candidates for central nervous system ("CNS") diseases and other neurology indications.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additional undisclosed product candidates being considered for development, and we may consider others, which cover a range of therapeutic areas and unmet medical needs. Generally, these product candidates are based on the same platform technology and employ a similar guided cell differentiation and transplant approach as the product candidates detailed above, but in some cases may also include genetic modifications designed to enhance efficacy and/or safety profiles.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efforts to broaden the application of our cell therapy platform and support long-term growth include a strategic collaboration we entered into with Eterna. This reflects a portion of our corporate strategy to capitalize on our process development capabilities by combining them with cell engineering and/or editing technologies, to create novel cell therapies with potentially superior product profiles compared to currently marketed therapies, if 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seeking to create value for shareholders by developing product candidates and advancing those candidates through clinical development, we also may seek to create value from our non-core intellectual property or related technologies and capabilities, through licensing collaborations and/or other strategic transactions, such as our business development approach to our VAC dendritic cell therapy platform.</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Israel-Hamas War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our manufacturing processes, including cell banking and product manufacturing for our cell therapy product candidates, are conducted by our subsidiary, Cell Cure, at its facility in Jerusalem, Israel, and more than two-thirds of our employees are Cell Cure employees who are based in the same facility. As of the date of this report, our operations have not been materially or adversely impacted as a result of the Israel-Hamas war that began in October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of safety concerns and in response to government-imposed restrictions on movement and travel and other precautions taken to address the ongoing war, our operations at our facilities in Israel were temporarily impacted. Further, a number of our employees in Israel are members of the military reserves and subject to immediate call-up in response to the war in Israel. A number of our employees in Israel have been activated for military duty and additional employees may also be activated. In addition, the general impact on employees operating in a region at war could adversely impact our operations. Although we have business continuity plans in place to address medium- or long-term disruptions that could result from the war, any long-term closure of our facilities in Israel, or if those facilities were damaged, or if hostilities otherwise disrupt the ongoing operation of our facilities or if a meaningful number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employees are unable to work for significant portions of time our operations would be materially and adversely impacted.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currently not possible to predict the scope, duration or severity of the ongoing war or its effects on our operations, financial condition or operating results. The ongoing war is rapidly evolving, and could materially adversely impact our business and operations, including our ability to raise capital, as well as the overall economy in Israel and the value of the New Israeli Shekel. See the risk factor in Item 1A. Risk Factors in this report titled, “All of our manufacturing operations currently are conducted at our facility in Jerusalem, Israel. Accordingly, political and economic conditions in Israel and war, terrorist attacks or other armed conflicts involving Israel, such as the Israel-Hamas war that began in October 2023, could directly affect our business. Any event or condition that significantly disrupts our ordinary course of operations at our Jerusalem facility could harm our business and materially and adversely affect our financial condition and operating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commercial insurance may not cover losses that may occur as a result of events associated with war and terrorism. Although the Israeli government currently covers the reinstatement value of direct damages that are caused by terrorist attacks or acts of war, we cannot assure that this government coverage will be maintained or that it will sufficiently cover our potential damages. Any losses or damages incurred by us could have a material adverse effect on our business.</w:t>
      </w:r>
    </w:p>
    <w:p>
      <w:pPr>
        <w:pStyle w:val="TextBody"/>
        <w:bidi w:val="0"/>
        <w:spacing w:before="360" w:after="283"/>
        <w:jc w:val="both"/>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consolidated financial statements in conformity with accounting principles generally accepted in the United States (“GAAP”) requires management to make estimates and assumptions that affect the reported amounts in our consolidated financial statements and related notes. We have identified below our critical accounting policies and estimates that we believe require the greatest amount of judgment. On an ongoing basis, we evaluate estimates which are subject to significant judgment, including those related to revenue recognition under collaborative agreements, research and development costs, impairment of long-lived intangible assets, deferred income taxes and tax reserves, and assumptions used to value stock-based awards or other equity instruments. Actual results could differ materially from those estimates. On an ongoing basis, we evaluate our estimates compared to historical experience and trends which form the basis for making judgments about the carrying value of assets and liabilities. To the extent that there are material differences between our estimates and our actual results, our future financial statement presentation, financial condition, results of operations and cash flows will be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the assumptions and estimates associated with the following have the greatest potential impact on our consolidated financial statements. For information on all of our significant accounting policies, see Note 2 (Significant Accounting Policies) in the accompanying notes to the consolidated financial statements included in this report.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Revenue recognition under collaborative agreements</w:t>
      </w:r>
    </w:p>
    <w:p>
      <w:pPr>
        <w:pStyle w:val="TextBody"/>
        <w:bidi w:val="0"/>
        <w:spacing w:before="120" w:after="283"/>
        <w:jc w:val="both"/>
        <w:rPr>
          <w:rFonts w:ascii="Times New Roman" w:hAnsi="Times New Roman"/>
          <w:sz w:val="20"/>
        </w:rPr>
      </w:pPr>
      <w:r>
        <w:rPr>
          <w:rFonts w:ascii="Times New Roman" w:hAnsi="Times New Roman"/>
          <w:color w:val="000000"/>
          <w:sz w:val="20"/>
        </w:rPr>
        <w:t>We review collaborative agreements to determine if the accounting treatment falls under Accounting Standards Codification, Topic 606</w:t>
      </w:r>
      <w:r>
        <w:rPr>
          <w:rFonts w:ascii="Times New Roman" w:hAnsi="Times New Roman"/>
          <w:i/>
          <w:color w:val="000000"/>
          <w:sz w:val="20"/>
        </w:rPr>
        <w:t xml:space="preserve">, Revenue from Contracts with Customers </w:t>
      </w:r>
      <w:r>
        <w:rPr>
          <w:rFonts w:ascii="Times New Roman" w:hAnsi="Times New Roman"/>
          <w:color w:val="000000"/>
          <w:sz w:val="20"/>
        </w:rPr>
        <w:t>(“ASC 606”)</w:t>
      </w:r>
      <w:r>
        <w:rPr>
          <w:rFonts w:ascii="Times New Roman" w:hAnsi="Times New Roman"/>
          <w:i/>
          <w:color w:val="000000"/>
          <w:sz w:val="20"/>
        </w:rPr>
        <w:t xml:space="preserve">, </w:t>
      </w:r>
      <w:r>
        <w:rPr>
          <w:rFonts w:ascii="Times New Roman" w:hAnsi="Times New Roman"/>
          <w:color w:val="000000"/>
          <w:sz w:val="20"/>
        </w:rPr>
        <w:t xml:space="preserve">or ASC </w:t>
      </w:r>
      <w:r>
        <w:rPr>
          <w:rFonts w:ascii="Times New Roman" w:hAnsi="Times New Roman"/>
          <w:i/>
          <w:color w:val="000000"/>
          <w:sz w:val="20"/>
        </w:rPr>
        <w:t xml:space="preserve">Topic 808, Collaborative Arrangements </w:t>
      </w:r>
      <w:r>
        <w:rPr>
          <w:rFonts w:ascii="Times New Roman" w:hAnsi="Times New Roman"/>
          <w:color w:val="000000"/>
          <w:sz w:val="20"/>
        </w:rPr>
        <w:t>(“ASC 808”). For agreements that may be within the scope of ASC 808, we may analogize to ASC 606 for some aspects of the agreements. If elements of the collaboration reflect a vendor-customer relationship, then those elements are within the scope ASC 606. The classification of transactions under our arrangements is determined based on the nature and contractual terms of the arrangement along with the nature of the operations of the participants.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determine revenue recognition for arrangements within the scope of Topic 606 by performing the following five steps: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 We consider the terms of a contract and all relevant facts and circumstances when applying the revenue recognition standard. We apply the revenue recognition standard, including the use of any practical expedients, consistently to contracts with similar characteristics and in similar circumstances. As part of the accounting treatment for these contracts, we must develop estimates and assumptions that require judgment, including estimated collaboration costs, to determine the underlying stand-alone selling price for each performance obligation which determines how the transaction price is allocated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among the performance obligations. For further information, see Note 3 (Revenue) in the accompanying notes to the consolidated financial statements included in this report.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Research and development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consist of costs incurred for company-sponsored, collaborative and contracted research and development activities. These costs include direct expenses and indirect research-related overhead expenses including compensation and related benefits, stock-based compensation, consulting fees, research and laboratory fees, rent of research facilities, amortization of intangible assets, and license fees paid to third parties to acquire patents or licenses to use patents and other technology. Research and development expenses which have an alternative future use will be capitalized as intangible assets, and research and development costs with no future benefit or alternative use will be expensed as incurred. Research and development expenses incurred and reimbursed by grants from third parties approximate the grant income recognized in the consolidated statements of operations. Royalties and sublicensing fees are recorded as research and development expenses, unless these costs are associated with royalties from product sales, which we classify as cost of sales on our consolidated statements of operations. We estimate preclinical, clinical, and other research related expenses based on services performed, pursuant to arrangements with contract research organizations, that conduct studies and research on our behalf. We estimate these expenses based on regular reviews with internal management personnel and external service providers as to the progress or stage of completion of services and the contracted fees to be paid for such services. Based upon the combined inputs of internal and external resources, if the actual timing of the performance of services or the level of effort varies from the original estimates, we will adjust the expense accordingly. We expect our total research and development expenses to fluctuate each reporting period based on several factors including (i) the stage of development for each cell therapy program, (ii) the availability of resources to work on each program, and (iii) the timing of contractual obligations.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Impairment of long-lived intangible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long-lived intangible assets, are reviewed for impairment whenever events or changes in circumstances indicate that the carrying amount of an asset may not be fully recoverable. If an impairment indicator is present, we evaluate recoverability by a comparison of the carrying amount of the assets to future undiscounted net cash flows expected to be generated by the assets. If the assets are impaired, the impairment recognized is measured by the amount by which the carrying amount exceeds the estimated fair value of the assets.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Goodwill is calculated as the difference between the acquisition date fair value of the consideration transferred and the values assigned to the assets acquired and liabilities assumed in the acquisition transaction. Goodwill is tested for impairment in accordance with Accounting Standards Update ("ASU") 2017-04, Intangibles—Goodwill and Other (Topic 350): Simplifying the Test for Goodwill Impairment. In-process research and development (“IPR&amp;D”) assets are indefinite-lived intangible assets until the completion or abandonment of the associated research and development (“R&amp;D”) efforts. Once the R&amp;D efforts are completed or abandoned, the IPR&amp;D will either be amortized over the asset’s estimated life as a finite-lived intangible asset or be impaired, respectively, in accordance with ASC Topic 350, </w:t>
      </w:r>
      <w:r>
        <w:rPr>
          <w:rFonts w:ascii="Times New Roman" w:hAnsi="Times New Roman"/>
          <w:i/>
          <w:color w:val="000000"/>
          <w:sz w:val="20"/>
        </w:rPr>
        <w:t xml:space="preserve">Intangibles – Goodwill and Other </w:t>
      </w:r>
      <w:r>
        <w:rPr>
          <w:rFonts w:ascii="Times New Roman" w:hAnsi="Times New Roman"/>
          <w:color w:val="000000"/>
          <w:sz w:val="20"/>
        </w:rPr>
        <w:t>("ASC 350"). In accordance with ASC 350, goodwill and acquired IPR&amp;D are determined to have indefinite lives and, therefore, are not amortized. Instead, they are tested for impairment at least annually and between annual tests if we become aware of an event or a change in circumstances that would indicate the asset may be impaired. For further information, see Note 7 (Goodwill and Intangible Assets, Net) in the accompanying notes to the consolidated financial statements included in this report.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Lineage accounts for income taxes in accordance with ASC Topic 740, </w:t>
      </w:r>
      <w:r>
        <w:rPr>
          <w:rFonts w:ascii="Times New Roman" w:hAnsi="Times New Roman"/>
          <w:i/>
          <w:color w:val="000000"/>
          <w:sz w:val="20"/>
        </w:rPr>
        <w:t xml:space="preserve">Income Taxes </w:t>
      </w:r>
      <w:r>
        <w:rPr>
          <w:rFonts w:ascii="Times New Roman" w:hAnsi="Times New Roman"/>
          <w:color w:val="000000"/>
          <w:sz w:val="20"/>
        </w:rPr>
        <w:t>("ASC 740"), which</w:t>
      </w:r>
      <w:r>
        <w:rPr>
          <w:rFonts w:ascii="Times New Roman" w:hAnsi="Times New Roman"/>
          <w:color w:val="FFFF00"/>
          <w:sz w:val="20"/>
        </w:rPr>
        <w:t xml:space="preserve"> </w:t>
      </w:r>
      <w:r>
        <w:rPr>
          <w:rFonts w:ascii="Times New Roman" w:hAnsi="Times New Roman"/>
          <w:color w:val="000000"/>
          <w:sz w:val="20"/>
        </w:rPr>
        <w:t xml:space="preserve">prescribes the use of the asset and liability method, whereby deferred tax asset or liability account balances are calculated at the balance sheet date using current tax laws and rates in effect. Valuation allowances are established when necessary to reduce deferred tax assets when it is more likely than not that a portion or all of the deferred tax assets will not be realized. ASC 740 guidance also prescribes a recognition threshold and a measurement attribute for the financial statement recognition and measurement of tax positions taken or expected to be taken in a tax return. For benefits to be recognized, a tax position must be more-likely-than-not sustainable upon examination by taxing authorities. Lineage files a U.S. federal income tax return as well as California combined and foreign income tax returns. Lineage’s judgments regarding future taxable income may change over time due to changes in market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conditions, changes in tax laws, tax planning strategies or other factors. If Lineage assumptions, and consequently the estimates, change in the future with respect to Lineage’s own deferred tax assets and liabilities, the valuation allowance may be increased or decreased, which may have a material impact on Lineage’s consolidated financial statements. Lineage recognizes accrued interest and penalties related to unrecognized tax benefits, if any, as income tax expense; however, no amounts were accrued for the payment of interest and penalties as of December 31, 2023 and 2022. We provided a reserve against our federal and California research and development credits generated. The carryforward amounts for these credits have been reported net of these reserves. Accordingly, no accrued interest and penalties related to unrecognized tax benefits have been recorded as of December 31, 2023 and 2022. For further information, see Note 13 (Income Taxes) in the accompanying notes to the consolidated financial statements included in this report.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follow accounting standards governing share-based payments, which require the measurement and recognition of compensation expense for all share-based compensation awards made to directors and employees, including employee stock options, based on estimated fair values. We utilize the Black-Scholes option pricing model. Our determination of fair value of share-based payment awards on the date of grant using an option-pricing model is affected by our stock price as well as assumptions regarding a number of complex and subjective variables. These variables include, but are not limited to: (i) the expected stock price volatility over the term of the awards; (ii) the expected term of options granted, which is derived using the simplified method, which is an average of the contractual term of the option and its vesting period, as we do not have sufficient historical exercise data to estimate the expected term; and (iii) the risk-free rate, which is based on the U.S. Treasury yield in effect at the time of grant for U.S. Treasury notes with maturities similar to the expected term of the awards. Stock option forfeitures are accounted for as they occur.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restricted stock unit (“RSUs”) awards subject to service and/or performance vesting conditions, the grant-date fair value is established based on the closing price of Lineage’s common shares on such date. Stock-based compensation expense for RSUs subject to only service conditions is recognized on a straight-line basis over the service period. Stock-based compensation expense for RSUs with both service and performance conditions is recognized on a graded basis only if it is probable that the performance condition will be achieved. Lineage accounts for forfeitures of RSUs as they occur in determining stock-based compensation expense. For RSUs subject to a market condition, the grant-date fair value is estimated using a Monte Carlo valuation model. The model is based on random projections of stock price paths and must be repeated numerous times to achieve a probabilistic assessment. Lineage recognizes stock-based compensation expense for RSUs subject to market-based vesting conditions regardless of whether it becomes probable that the vesting conditions will be achieved, and stock-based compensation expense for such RSUs is not reversed if vesting does not actually occur.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the fair value of employee stock options is determined in accordance with FASB guidance, changes in the assumptions can materially affect the estimated value and therefore the amount of compensation expense recognized in the consolidated financial statements. For further information, see Note 12 (Stock-Based Awards) to our consolidated financial statements included in this report.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Years Ended December 31, 2023 and 2022</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shows our revenues for the years ended December 31, 2023 and 2022 (amounts in thousands except percentages).</w:t>
      </w:r>
    </w:p>
    <w:p>
      <w:pPr>
        <w:pStyle w:val="TextBody"/>
        <w:bidi w:val="0"/>
        <w:jc w:val="both"/>
        <w:rPr/>
      </w:pPr>
      <w:r>
        <w:rPr/>
        <w:t> </w:t>
      </w:r>
    </w:p>
    <w:tbl>
      <w:tblPr>
        <w:tblW w:w="8116" w:type="dxa"/>
        <w:jc w:val="left"/>
        <w:tblInd w:w="0" w:type="dxa"/>
        <w:tblLayout w:type="fixed"/>
        <w:tblCellMar>
          <w:top w:w="28" w:type="dxa"/>
          <w:left w:w="28" w:type="dxa"/>
          <w:bottom w:w="28" w:type="dxa"/>
          <w:right w:w="28" w:type="dxa"/>
        </w:tblCellMar>
      </w:tblPr>
      <w:tblGrid>
        <w:gridCol w:w="3136"/>
        <w:gridCol w:w="146"/>
        <w:gridCol w:w="212"/>
        <w:gridCol w:w="575"/>
        <w:gridCol w:w="167"/>
        <w:gridCol w:w="147"/>
        <w:gridCol w:w="212"/>
        <w:gridCol w:w="681"/>
        <w:gridCol w:w="166"/>
        <w:gridCol w:w="146"/>
        <w:gridCol w:w="218"/>
        <w:gridCol w:w="652"/>
        <w:gridCol w:w="166"/>
        <w:gridCol w:w="146"/>
        <w:gridCol w:w="242"/>
        <w:gridCol w:w="628"/>
        <w:gridCol w:w="476"/>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w:t>
              <w:br/>
              <w:t>Increase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Increase</w:t>
            </w:r>
          </w:p>
        </w:tc>
        <w:tc>
          <w:tcPr>
            <w:tcW w:w="476" w:type="dxa"/>
            <w:tcBorders/>
            <w:shd w:fill="FFFFFF" w:val="clear"/>
            <w:vAlign w:val="center"/>
          </w:tcPr>
          <w:p>
            <w:pPr>
              <w:pStyle w:val="TableContents"/>
              <w:bidi w:val="0"/>
              <w:spacing w:before="0" w:after="283"/>
              <w:jc w:val="center"/>
              <w:rPr/>
            </w:pPr>
            <w:r>
              <w:rPr/>
              <w:t> </w:t>
            </w:r>
          </w:p>
        </w:tc>
      </w:tr>
      <w:tr>
        <w:trPr/>
        <w:tc>
          <w:tcPr>
            <w:tcW w:w="31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7,588</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Royalties, license and other revenues</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8,945</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8,274</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Total revenues for the year ended December 31, 2023 were $8.9 million compared to $14.7 million for the year ended December 31, 2022. The $5.8 million decrease in collaboration revenues was primarily due to lower collaboration revenues under the Roche Agreement, related to an overall increase in the total estimated costs to be incurred under this collaboration agreement. Collaboration revenues may fluctuate from period to period based on changes in estimated costs to support performance obligations. The $7.6 million is part of the $50.0 million upfront payment which was included in deferred revenues at December 31, 2022 (see Note 3 (Revenue) to our consolidated financial statements included in this report for additional information).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operating expenses consist of research and development expenses and general and administrative expenses.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Research and development expenses</w:t>
      </w:r>
      <w:r>
        <w:rPr>
          <w:rFonts w:ascii="Times New Roman" w:hAnsi="Times New Roman"/>
          <w:color w:val="000000"/>
          <w:sz w:val="20"/>
        </w:rPr>
        <w:t>. These expenses consist of costs incurred for company-sponsored, collaborative and contracted research and development activities. These costs include direct expenses and indirect research-related overhead expenses including compensation and related benefits, stock-based compensation, consulting fees, research and laboratory fees, rent of research facilities, amortization of intangible assets, and license fees paid to third parties to acquire patents or licenses to use patents and other technology. Research and development expenses which have an alternative future use will be capitalized as intangible assets, and research and development costs with no future benefit or alternative use will be expensed as incurred. Research and development expenses incurred and reimbursed by grants from third parties approximate the grant income recognized in our consolidated statements of operations. Royalties and sublicensing fees are recorded as research and development expenses, unless these costs are associated with royalties from product sales, which we classify as cost of sales in our consolidated statements of operations. We expect our total research and development expenses to fluctuate each reporting period based on several factors including (i) the stage of development for each cell therapy program, (ii) the availability of resources to work on each program, and (iii) the timing of contractual obligations.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General and administrative expenses</w:t>
      </w:r>
      <w:r>
        <w:rPr>
          <w:rFonts w:ascii="Times New Roman" w:hAnsi="Times New Roman"/>
          <w:color w:val="000000"/>
          <w:sz w:val="20"/>
        </w:rPr>
        <w:t>. These expenses consist of employee and director compensation and related benefits, including stock-based compensation, for executive and corporate personnel, professional and consulting fees, and allocated overhead such as facilities rent and equipment rent and maintenance, insurance costs allocated to general and administrative expenses, costs of patent applications, prosecution and maintenance, stock exchange-related costs, depreciation expense, marketing costs, legal and accounting costs, and other miscellaneous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shows our operating expenses for the years ended December 31, 2023 and 2022 (amounts in thousands, except percentages).</w:t>
      </w:r>
    </w:p>
    <w:p>
      <w:pPr>
        <w:pStyle w:val="TextBody"/>
        <w:bidi w:val="0"/>
        <w:jc w:val="both"/>
        <w:rPr/>
      </w:pPr>
      <w:r>
        <w:rPr/>
        <w:t> </w:t>
      </w:r>
    </w:p>
    <w:tbl>
      <w:tblPr>
        <w:tblW w:w="7343" w:type="dxa"/>
        <w:jc w:val="left"/>
        <w:tblInd w:w="0" w:type="dxa"/>
        <w:tblLayout w:type="fixed"/>
        <w:tblCellMar>
          <w:top w:w="28" w:type="dxa"/>
          <w:left w:w="28" w:type="dxa"/>
          <w:bottom w:w="28" w:type="dxa"/>
          <w:right w:w="28" w:type="dxa"/>
        </w:tblCellMar>
      </w:tblPr>
      <w:tblGrid>
        <w:gridCol w:w="2311"/>
        <w:gridCol w:w="146"/>
        <w:gridCol w:w="211"/>
        <w:gridCol w:w="676"/>
        <w:gridCol w:w="146"/>
        <w:gridCol w:w="146"/>
        <w:gridCol w:w="211"/>
        <w:gridCol w:w="676"/>
        <w:gridCol w:w="146"/>
        <w:gridCol w:w="146"/>
        <w:gridCol w:w="218"/>
        <w:gridCol w:w="652"/>
        <w:gridCol w:w="166"/>
        <w:gridCol w:w="146"/>
        <w:gridCol w:w="242"/>
        <w:gridCol w:w="628"/>
        <w:gridCol w:w="47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w:t>
              <w:br/>
              <w:t>Increase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Increase</w:t>
            </w:r>
          </w:p>
        </w:tc>
        <w:tc>
          <w:tcPr>
            <w:tcW w:w="476" w:type="dxa"/>
            <w:tcBorders/>
            <w:shd w:fill="FFFFFF" w:val="cle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shows the amount of our total research and development expenses allocated to our primary research and development projects for the periods presented (amounts in thousands, except percentages).</w:t>
      </w:r>
    </w:p>
    <w:p>
      <w:pPr>
        <w:pStyle w:val="TextBody"/>
        <w:bidi w:val="0"/>
        <w:jc w:val="both"/>
        <w:rPr/>
      </w:pPr>
      <w:r>
        <w:rPr/>
        <w:t> </w:t>
      </w:r>
    </w:p>
    <w:tbl>
      <w:tblPr>
        <w:tblW w:w="8067" w:type="dxa"/>
        <w:jc w:val="left"/>
        <w:tblInd w:w="0" w:type="dxa"/>
        <w:tblLayout w:type="fixed"/>
        <w:tblCellMar>
          <w:top w:w="28" w:type="dxa"/>
          <w:left w:w="28" w:type="dxa"/>
          <w:bottom w:w="28" w:type="dxa"/>
          <w:right w:w="28" w:type="dxa"/>
        </w:tblCellMar>
      </w:tblPr>
      <w:tblGrid>
        <w:gridCol w:w="3596"/>
        <w:gridCol w:w="146"/>
        <w:gridCol w:w="211"/>
        <w:gridCol w:w="676"/>
        <w:gridCol w:w="146"/>
        <w:gridCol w:w="146"/>
        <w:gridCol w:w="211"/>
        <w:gridCol w:w="676"/>
        <w:gridCol w:w="146"/>
        <w:gridCol w:w="146"/>
        <w:gridCol w:w="146"/>
        <w:gridCol w:w="421"/>
        <w:gridCol w:w="271"/>
        <w:gridCol w:w="146"/>
        <w:gridCol w:w="146"/>
        <w:gridCol w:w="421"/>
        <w:gridCol w:w="416"/>
      </w:tblGrid>
      <w:tr>
        <w:trPr/>
        <w:tc>
          <w:tcPr>
            <w:tcW w:w="3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9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Total</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OpRegen</w:t>
            </w:r>
            <w:r>
              <w:rPr>
                <w:rFonts w:ascii="Times New Roman" w:hAnsi="Times New Roman"/>
                <w:color w:val="000000"/>
                <w:sz w:val="13"/>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OPC1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ANP1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PNC1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RND1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programs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color w:val="000000"/>
          <w:sz w:val="20"/>
          <w:u w:val="single"/>
        </w:rPr>
        <w:t>Research and development expenses.</w:t>
      </w:r>
      <w:r>
        <w:rPr>
          <w:rFonts w:ascii="Times New Roman" w:hAnsi="Times New Roman"/>
          <w:color w:val="000000"/>
          <w:sz w:val="20"/>
        </w:rPr>
        <w:t xml:space="preserve"> For the twelve months ended December 31, 2023, the $1.7 million year-over-year increase in total research and development expenses is mainly attributable to a $0.4 million increase in our OpRegen program, a $1.2 million increase in our OPC1 program, and a $2.0 million increase in preclinical programs. These increases were partially offset by a $1.9 million decrease in our other research and development programs, primarily related to reduced manufacturing activities.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General and administrative expenses.</w:t>
      </w:r>
      <w:r>
        <w:rPr>
          <w:rFonts w:ascii="Times New Roman" w:hAnsi="Times New Roman"/>
          <w:color w:val="000000"/>
          <w:sz w:val="20"/>
        </w:rPr>
        <w:t xml:space="preserve"> For the twelve months ended December 31, 2023, the $5.2 million year-over-year decrease in general and administrative expenses was primarily attributable to (i) a $4.2 million decrease in legal and litigation expense, primarily due to the settlement of the Asterias litigation, and (ii) an overall reduction in costs incurred for services provided by third parties, consulting costs and rent-related expenses.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Income and Expenses,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shows the amount of other income (expenses), net, during the year ended December 31, 2023 and 2022 (in thousands):</w:t>
      </w:r>
    </w:p>
    <w:p>
      <w:pPr>
        <w:pStyle w:val="TextBody"/>
        <w:bidi w:val="0"/>
        <w:jc w:val="both"/>
        <w:rPr/>
      </w:pPr>
      <w:r>
        <w:rPr/>
        <w:t> </w:t>
      </w:r>
    </w:p>
    <w:tbl>
      <w:tblPr>
        <w:tblW w:w="9480" w:type="dxa"/>
        <w:jc w:val="left"/>
        <w:tblInd w:w="0" w:type="dxa"/>
        <w:tblLayout w:type="fixed"/>
        <w:tblCellMar>
          <w:top w:w="28" w:type="dxa"/>
          <w:left w:w="28" w:type="dxa"/>
          <w:bottom w:w="28" w:type="dxa"/>
          <w:right w:w="28" w:type="dxa"/>
        </w:tblCellMar>
      </w:tblPr>
      <w:tblGrid>
        <w:gridCol w:w="3521"/>
        <w:gridCol w:w="146"/>
        <w:gridCol w:w="217"/>
        <w:gridCol w:w="588"/>
        <w:gridCol w:w="171"/>
        <w:gridCol w:w="150"/>
        <w:gridCol w:w="217"/>
        <w:gridCol w:w="650"/>
        <w:gridCol w:w="166"/>
        <w:gridCol w:w="146"/>
        <w:gridCol w:w="328"/>
        <w:gridCol w:w="887"/>
        <w:gridCol w:w="166"/>
        <w:gridCol w:w="146"/>
        <w:gridCol w:w="303"/>
        <w:gridCol w:w="1002"/>
        <w:gridCol w:w="676"/>
      </w:tblGrid>
      <w:tr>
        <w:trPr/>
        <w:tc>
          <w:tcPr>
            <w:tcW w:w="3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3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 Increase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Increase</w:t>
            </w:r>
          </w:p>
        </w:tc>
        <w:tc>
          <w:tcPr>
            <w:tcW w:w="676" w:type="dxa"/>
            <w:tcBorders/>
            <w:shd w:fill="FFFFFF" w:val="clear"/>
            <w:vAlign w:val="center"/>
          </w:tcPr>
          <w:p>
            <w:pPr>
              <w:pStyle w:val="TableContents"/>
              <w:bidi w:val="0"/>
              <w:spacing w:before="0" w:after="283"/>
              <w:jc w:val="center"/>
              <w:rPr/>
            </w:pPr>
            <w:r>
              <w:rPr/>
              <w:t> </w:t>
            </w:r>
          </w:p>
        </w:tc>
      </w:tr>
      <w:tr>
        <w:trPr/>
        <w:tc>
          <w:tcPr>
            <w:tcW w:w="352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Other income (expenses), net</w:t>
            </w:r>
          </w:p>
        </w:tc>
        <w:tc>
          <w:tcPr>
            <w:tcW w:w="146" w:type="dxa"/>
            <w:tcBorders/>
            <w:shd w:fill="FFFFFF" w:val="clear"/>
            <w:vAlign w:val="center"/>
          </w:tcPr>
          <w:p>
            <w:pPr>
              <w:pStyle w:val="TableContents"/>
              <w:bidi w:val="0"/>
              <w:spacing w:before="0" w:after="283"/>
              <w:jc w:val="center"/>
              <w:rPr/>
            </w:pPr>
            <w:r>
              <w:rPr/>
              <w:t> </w:t>
            </w:r>
          </w:p>
        </w:tc>
        <w:tc>
          <w:tcPr>
            <w:tcW w:w="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5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171"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10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67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Loss on marketable equity securities, net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6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Gain on revaluation of warrant liability</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71"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6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10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67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expenses, net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76"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52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10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color w:val="000000"/>
          <w:sz w:val="20"/>
          <w:u w:val="single"/>
        </w:rPr>
        <w:t xml:space="preserve">Interest income, net. </w:t>
      </w:r>
      <w:r>
        <w:rPr>
          <w:rFonts w:ascii="Times New Roman" w:hAnsi="Times New Roman"/>
          <w:color w:val="000000"/>
          <w:sz w:val="20"/>
        </w:rPr>
        <w:t>During the third quarter of 2022, we began to invest our excess cash in short-term U.S. Treasury securities resulting in an increase in interest income. The increasing interest rates from 2022 to 2023 also contributed to the year over year increase. See Note 4 (Marketable Debt Securities) to our consolidated financial statements included in this report for additional information regarding our marketable debt securities.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Marketable equity securities, net</w:t>
      </w:r>
      <w:r>
        <w:rPr>
          <w:rFonts w:ascii="Times New Roman" w:hAnsi="Times New Roman"/>
          <w:color w:val="000000"/>
          <w:sz w:val="20"/>
        </w:rPr>
        <w:t>. We expect our net gain or loss on marketable equitable securities to fluctuate based on mark-to-market adjustments resulting from changes in the market price of the common stock of OncoCyte Corporation (“OncoCyte”) and Hadasit Bio-Holdings Ltd (“HBL”). These shares are carried at fair market value on our consolidated balance sheet. See Note 5 (Marketable Equity Securities) to our consolidated financial statements included in this report for additional information regarding our marketable equity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twelve months ended December 31, 2023 and 2022, Lineage recognized a net loss on marketable equity securities of $0.2 million and $2.2 million, respectively, primarily related to changes in the fair market value of the securities during the respective periods. </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Other expenses, net</w:t>
      </w:r>
      <w:r>
        <w:rPr>
          <w:rFonts w:ascii="Times New Roman" w:hAnsi="Times New Roman"/>
          <w:color w:val="000000"/>
          <w:sz w:val="20"/>
        </w:rPr>
        <w:t xml:space="preserve">. For the years ended December 31, 2023 and 2022, other expenses, net primarily includes foreign currency transaction losses of $0.5 million and $2.0 million, respectively. The majority of these foreign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currency transaction gains and losses are generated by Cell Cure’s intercompany notes payable and notes receivable with Lineage, which is U.S. dollar-denominated, while Cell Cure’s functional currency is the Israeli New Shekel (“ILS”). The year-over-year decrease in foreign currency transaction losses was the result of the combined impact of (i) changes in intercompany balances in 2023 as compared to 2022, and (ii) volatility of the ILS as compared to the U.S. dollar during 2023 and 2022. For the year ended December 31, 2023, the foreign currency transaction losses of $0.5 million was offset by the employee retention credit (discussed below) which was not applicable in the prior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Coronavirus Aid, Relief, and Economic Security Act (the “CARES Act”), the Company is eligible for an employee retention credit subject to certain criteria. The employee retention credit is a payroll tax refund per employee, which was designed by the U.S. Treasury Department to assist businesses that retained employees during the COVID pandemic. For the year ended December 31, 2023, we recorded an employee retention credit of $0.5 million, due to a decline in the quarterly revenue during 2020 and 2021 as compared to the same quarterly period in 2019.</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Under ASC 740, </w:t>
      </w:r>
      <w:r>
        <w:rPr>
          <w:rFonts w:ascii="Times New Roman" w:hAnsi="Times New Roman"/>
          <w:i/>
          <w:color w:val="000000"/>
          <w:sz w:val="20"/>
        </w:rPr>
        <w:t>Income Taxes</w:t>
      </w:r>
      <w:r>
        <w:rPr>
          <w:rFonts w:ascii="Times New Roman" w:hAnsi="Times New Roman"/>
          <w:color w:val="000000"/>
          <w:sz w:val="20"/>
        </w:rPr>
        <w:t>, a valuation allowance is provided when it is more likely than not that some portion of the deferred tax assets will not be realized. We established a full valuation allowance as of December 31, 2018 due to the uncertainty of realizing future tax benefits from the net operating loss carryforwards and other deferred tax assets, including foreign net operating losses generated by our subsidiaries.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year ended December 31, 2023, Lineage recorded a $1.8 million deferred tax benefit due to the ability to offset certain deferred tax assets against the deferred tax liability associated with in-process research and development (“IPR&amp;D”), and the related release of the valuation allowance. It was determined that a portion of the deferred tax liability related to the indefinite lived assets may be realized prior to the expiration of certain pre 2018 net operating losses. Lineage did not record a deferred tax benefit for the year ended December 31, 2022.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year ended December 31, 2022, Lineage recorded a withholding tax of $0.5 million on interest expense deemed paid to Lineage from Cell Cure on the purchase of intellectual property pursuant to the U.S. Israeli tax treaty. There was no comparable tax expense recorded for the year ended December 31, 2023. See Note 13 (Income Taxes) for additional information.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2023, our accumulated deficit was $384.9 million. For the year ended December 31, 2023, we incurred a loss from operations of $24.7 million and had negative cash flow from operations of $28.6 million. Since inception, we have incurred significant operating losses and we expect to continue to incur significant operating losses for the foreseeable future. As of December 31, 2023, we had $35.5 million in cash, cash equivalents and marketable securities. In February 2024, we raised approximately $13.8 million in net proceeds through a registered direct offering of our common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historically funded our operations primarily through proceeds from the sale of our common shares and securities exercisable for or convertible into our common shares, the sale of common stock of our former subsidiaries, research grants, revenues from collaborations, and royalties from product sales that are unrelated to our current cell therapy product candidates. We do not expect sales of shares of our former subsidiaries that we own to be a significant source of additional funds. See Note 5 (Marketable Equity Securities) to our consolidated financial statements included in this report for additional information regarding those marketable equity securities. During the year ended December 31, 2023, we issued and sold 4,774,603 common shares under our at-the-market offering program for gross proceeds of $6.6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$57.2 million remained available for sale under our at-the-market offering program. As of March 1, 2024, $40 million was available for sale under our ATM offering program. See Note 11 (Shareholders’ Equity) to our consolidated financial statements included in this report for additional information regarding our at-the-market offering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jc w:val="both"/>
        <w:rPr/>
      </w:pPr>
      <w:r>
        <w:rPr/>
        <w:t> </w:t>
      </w:r>
    </w:p>
    <w:tbl>
      <w:tblPr>
        <w:tblW w:w="9394" w:type="dxa"/>
        <w:jc w:val="left"/>
        <w:tblInd w:w="0" w:type="dxa"/>
        <w:tblLayout w:type="fixed"/>
        <w:tblCellMar>
          <w:top w:w="28" w:type="dxa"/>
          <w:left w:w="28" w:type="dxa"/>
          <w:bottom w:w="28" w:type="dxa"/>
          <w:right w:w="28" w:type="dxa"/>
        </w:tblCellMar>
      </w:tblPr>
      <w:tblGrid>
        <w:gridCol w:w="6531"/>
        <w:gridCol w:w="146"/>
        <w:gridCol w:w="211"/>
        <w:gridCol w:w="736"/>
        <w:gridCol w:w="166"/>
        <w:gridCol w:w="146"/>
        <w:gridCol w:w="211"/>
        <w:gridCol w:w="736"/>
        <w:gridCol w:w="511"/>
      </w:tblGrid>
      <w:tr>
        <w:trPr/>
        <w:tc>
          <w:tcPr>
            <w:tcW w:w="6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3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provided by (used in):</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65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6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(46,159</w:t>
            </w:r>
          </w:p>
        </w:tc>
        <w:tc>
          <w:tcPr>
            <w:tcW w:w="5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6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Effect of exchange rate changes on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53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Net increase (decrease) in cash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(44,341</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Cash (used in) provided by 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operating activities was $28.6 million for the year ended December 31, 2023, which primarily reflects the loss from operations of $24.7 million plus the changes in operating assets and liabilities of $10.8 million. These items were offset by the non-cash expenses of $4.6 million for stock-based compensation and $0.8 million for depreciation and amortization. The foreign currency remeasurement and deferred tax benefit had no effect on cash flows.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provided by operating activities was $1.1 million for the year ended December 31, 2022, which primarily reflects the net changes in assets and liabilities of $18.7 million, plus the $5.0 million in non-cash expenses for stock-based compensation and depreciation and amortization, less the loss from operations of $22.5 million. The change in assets and liabilities was impacted by the receipt of the $50.0 million upfront payment under the Roche Agreement, and subsequent related payments to the IIA and Hadasit (see Note 14 (Commitments and Contingencies) to the consolidated financial statements included in this report for further explanation), partially offset by the accrual of the litigation settlement also as described in Note 14 (Commitments and Contingencies) to the consolidated financial statements included in this report. The loss on marketable equity securities and foreign currency remeasurement had no effect on the cash flows.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provided by (used in) 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investing activities for the year ended December 31, 2023 was $46.4 million and consisted of $63.3 million in U.S. Treasury securities which matured during the period and $0.2 million in proceeds from the sale of marketable equity securities, partially offset by $16.4 million used to purchase U.S. Treasury securities and $0.7 million used to purchase equipment.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used in investing activities for the year ended December 31, 2022 was $46.2 million and consisted of $53.4 million related to the purchase of U.S. Treasury securities and $0.4 million for the purchase of equipment, offset with $7.7 million in U.S. Treasuries which matured during the year.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provided by 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financing activities for the year ended December 31, 2023 was $6.4 million and primarily consisted of net proceeds from the sale of our common shares under our at-the-market offering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provided by financing activities for the year ended December 31, 2022 was $1.6 million and consisted of $1.0 million of proceeds from the exercise of warrants to purchase shares of Cell Cure and $0.6 million of proceeds from the exercise of employee stock options.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Financial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obligations primarily consist of obligations to our licensors under license agreements, obligations related to grants received from government entities, including the IIA, obligations under vendor contracts to provide research services and other purchase commitments with suppliers.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obligations to licensors under license agreements and to government entities under the terms of grants we've received require us to make future payments relating to sublicense fees, milestone payments, redemption fees, royalties and patent maintenance costs. Sublicense fees are payable to licensors or government entities when we sublicense underlying intellectual property to third parties; the fees are based on a percentage of the license-related revenue we receive from sublicensees. Milestone payments, are due to licensors or government entities upon future achievement of certain commercial, development and regulatory milestones, including those related to the Roche Agreement. Redemption fees due to the IIA under the Innovation Law are due upon receipt of any milestone payments and royalties received under the Roche Agreement, (see Note 14 (Commitment and Contingencies)) to the consolidated financial statements included in this report for additional information. Royalties, are payable to licensors or government entities based on a percentage of net sales of licensed products, including those related to the Roche Agreement. Patent maintenance costs are payable to licensors as reimbursement for the cost of maintaining licensed patents. Due to the contingent nature of the payments, the amounts and timing of payments to licensors under our in-license agreements and to government entities under the terms of grants we've received are uncertain and may fluctuate significantly from period to period. As of December 31, 2023, we have not included these commitments on our consolidated balance sheet because the achievement and timing of these events are not fixed and determinable.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discussed in “Part I—Item 1. Business—Grants from Government Entities,” above, we have received grants under the Innovation Law and are required to pay royalties to the IIA from the revenues generated from the sale of product candidates and related services developed, in whole or in part pursuant to, or as a result of, a research and development program funded by the IIA. Under the Innovation Law, we are also required to pay redemption fees to the IIA. To date, through a series of separate grants beginning in 2007, Cell Cure has received a total of $15.4 million from the IIA to support the OpRegen program. We are obligated to pay approximately 24.1% of any future payments we receive under the Roche Agreement to the IIA, up to an aggregate cap on all payments to IIA, such cap growing over time via interest accrual until paid in full. As of December 31, 2023 the aggregate cap amount was approximately $93.2 million. Redemption fees due to the IIA under the Innovation Law are due upon receipt of any milestone payments and royalties received under the Roche Agreement. As of December 31, 2023, we have not included any future financial obligations due to the IIA under the Innovation Law in our consolidated balance sheet because the achievement and timing of the events that would require future payments to the IIA under the Innovation Law is not fixed and determinable. See Note 14 (Commitments and Contingencies) to our consolidated financial statements included in this report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terms of the leases for the facilities from which Cell Cure and Lineage operate, a total of $3.2 million of rent payments will become due, of which $1.0 million will become due in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amounts and timing of payments under these agreements are uncertain and contingent upon the initiation and completion of the services to be provided.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Future Funding Requirements and Potential 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that our operating expenses will continue to increase for the foreseeable future as we continue the development of, and seek regulatory approval for, our product candidates. As a result, we will need significant additional capital to fund our operations. Our determination as to when we will seek additional capital and the amount of additional capital that we will need will be based on our evaluation of the progress we make in our research and development programs, changes to the scope and focus of those programs, changes in grant funding for certain of those programs, and projection of future costs, revenues, and rates of expenditure. If we are unable to raise additional capital when and as needed, we may be required to delay, postpone, or cancel our clinical trials or limit the number of clinical trial sites.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seek to obtain the additional capital we may need through one or more equity offerings, debt financings, government or other grant funding or other third-party funding transactions, including potential strategic alliances and licensing or collaboration agreements, or structured financings such as royalty monetization transactions. We cannot provide any assurance that adequate additional capital will be available on favorable terms, if at all. The issuance of additional securities, whether equity or debt, or the possibility of such issuance, may cause the market price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common shares to decline, and the issuance of additional equity securities could result in the dilution of the interests of our current shareholders. If we obtain additional capital through strategic alliances and licensing or collaboration agreements or structured financing, we may be required to relinquish rights to our intellectual property, our product candidates or rights to future revenue streams or otherwise agree to terms unfavorable to us. The unavailability or inadequacy of additional capital to meet future capital needs could force us to modify, curtail, delay, or suspend some or all aspects of our current planned operations. Our ability to raise additional capital may be adversely impacted due to external factors beyond our control, such as unfavorable global economic conditions, disruptions to and volatility in the credit and financial markets in the United States and worldwide, public health emergencies such as the COVID-19 pandemic, geopolitical conflicts, political and economic instability, inflation and relatively high interest rates, and other macroeconomic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that our $35.5 million in cash, cash equivalents and marketable securities at December 31, 2023, together with the approximately $13.8 million in net proceeds from the registered direct offering of our common shares we completed in February 2024, will be sufficient to fund our planned operations through for least twelve months from the issuance date of our consolidated financial statements included elsewhere in this report.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14" w:name="item_7a_quantitative_and_qualitative"/>
      <w:bookmarkEnd w:id="14"/>
      <w:r>
        <w:rPr>
          <w:rFonts w:ascii="Times New Roman" w:hAnsi="Times New Roman"/>
          <w:b/>
          <w:color w:val="000000"/>
          <w:sz w:val="20"/>
        </w:rPr>
        <w:t>ITEM 7A.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rules and regulations of the SEC, as a smaller reporting company, we are not required to provide the information required by this item.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5" w:name="item_8_financial_statements"/>
      <w:bookmarkEnd w:id="15"/>
      <w:r>
        <w:rPr>
          <w:rFonts w:ascii="Times New Roman" w:hAnsi="Times New Roman"/>
          <w:b/>
          <w:color w:val="000000"/>
          <w:sz w:val="20"/>
        </w:rPr>
        <w:t>ITEM 8. FINANCIAL STATEMENTS AND SUPPLEMENTARY DATA</w:t>
      </w:r>
    </w:p>
    <w:p>
      <w:pPr>
        <w:pStyle w:val="TextBody"/>
        <w:bidi w:val="0"/>
        <w:spacing w:before="240" w:after="283"/>
        <w:jc w:val="center"/>
        <w:rPr>
          <w:rFonts w:ascii="Times New Roman" w:hAnsi="Times New Roman"/>
          <w:b/>
          <w:caps/>
          <w:color w:val="000000"/>
          <w:sz w:val="20"/>
        </w:rPr>
      </w:pPr>
      <w:r>
        <w:rPr>
          <w:rFonts w:ascii="Times New Roman" w:hAnsi="Times New Roman"/>
          <w:b/>
          <w:caps/>
          <w:color w:val="000000"/>
          <w:sz w:val="20"/>
        </w:rPr>
        <w:t>Index to consolidated financial statements</w:t>
      </w:r>
    </w:p>
    <w:p>
      <w:pPr>
        <w:pStyle w:val="TextBody"/>
        <w:bidi w:val="0"/>
        <w:jc w:val="both"/>
        <w:rPr/>
      </w:pPr>
      <w:r>
        <w:rPr/>
        <w:t> </w:t>
      </w:r>
    </w:p>
    <w:tbl>
      <w:tblPr>
        <w:tblW w:w="5747" w:type="dxa"/>
        <w:jc w:val="left"/>
        <w:tblInd w:w="0" w:type="dxa"/>
        <w:tblLayout w:type="fixed"/>
        <w:tblCellMar>
          <w:top w:w="28" w:type="dxa"/>
          <w:left w:w="28" w:type="dxa"/>
          <w:bottom w:w="28" w:type="dxa"/>
          <w:right w:w="28" w:type="dxa"/>
        </w:tblCellMar>
      </w:tblPr>
      <w:tblGrid>
        <w:gridCol w:w="5386"/>
        <w:gridCol w:w="361"/>
      </w:tblGrid>
      <w:tr>
        <w:trPr/>
        <w:tc>
          <w:tcPr>
            <w:tcW w:w="53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5386" w:type="dxa"/>
            <w:tcBorders/>
            <w:shd w:fill="CCEEFF" w:val="clear"/>
            <w:vAlign w:val="center"/>
          </w:tcPr>
          <w:p>
            <w:pPr>
              <w:pStyle w:val="TableContents"/>
              <w:bidi w:val="0"/>
              <w:spacing w:before="0" w:after="283"/>
              <w:jc w:val="left"/>
              <w:rPr/>
            </w:pPr>
            <w:hyperlink w:anchor="report_of_independent_registered_public">
              <w:r>
                <w:rPr>
                  <w:rStyle w:val="InternetLink"/>
                  <w:rFonts w:ascii="Times New Roman" w:hAnsi="Times New Roman"/>
                  <w:color w:val="0000FF"/>
                  <w:sz w:val="20"/>
                  <w:u w:val="single"/>
                </w:rPr>
                <w:t>Independent Registered Public Accounting Firm - Audit Opinion</w:t>
              </w:r>
            </w:hyperlink>
          </w:p>
        </w:tc>
        <w:tc>
          <w:tcPr>
            <w:tcW w:w="361" w:type="dxa"/>
            <w:tcBorders/>
            <w:shd w:fill="CCEEFF" w:val="cle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91</w:t>
            </w:r>
          </w:p>
        </w:tc>
      </w:tr>
      <w:tr>
        <w:trPr/>
        <w:tc>
          <w:tcPr>
            <w:tcW w:w="5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Statements:</w:t>
            </w:r>
          </w:p>
        </w:tc>
        <w:tc>
          <w:tcPr>
            <w:tcW w:w="361" w:type="dxa"/>
            <w:tcBorders/>
            <w:shd w:fill="FFFFFF" w:val="clear"/>
            <w:vAlign w:val="center"/>
          </w:tcPr>
          <w:p>
            <w:pPr>
              <w:pStyle w:val="TableContents"/>
              <w:bidi w:val="0"/>
              <w:spacing w:before="0" w:after="283"/>
              <w:jc w:val="center"/>
              <w:rPr/>
            </w:pPr>
            <w:r>
              <w:rPr/>
              <w:t> </w:t>
            </w:r>
          </w:p>
        </w:tc>
      </w:tr>
      <w:tr>
        <w:trPr/>
        <w:tc>
          <w:tcPr>
            <w:tcW w:w="5386" w:type="dxa"/>
            <w:tcBorders/>
            <w:shd w:fill="CCEEFF" w:val="cle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w:t>
              </w:r>
            </w:hyperlink>
          </w:p>
        </w:tc>
        <w:tc>
          <w:tcPr>
            <w:tcW w:w="361" w:type="dxa"/>
            <w:tcBorders/>
            <w:shd w:fill="CCEEFF" w:val="cle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93</w:t>
            </w:r>
          </w:p>
        </w:tc>
      </w:tr>
      <w:tr>
        <w:trPr/>
        <w:tc>
          <w:tcPr>
            <w:tcW w:w="5386" w:type="dxa"/>
            <w:tcBorders/>
            <w:shd w:fill="FFFFFF" w:val="cle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Consolidated Statements of Operations</w:t>
              </w:r>
            </w:hyperlink>
          </w:p>
        </w:tc>
        <w:tc>
          <w:tcPr>
            <w:tcW w:w="361" w:type="dxa"/>
            <w:tcBorders/>
            <w:shd w:fill="FFFFFF" w:val="cle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94</w:t>
            </w:r>
          </w:p>
        </w:tc>
      </w:tr>
      <w:tr>
        <w:trPr/>
        <w:tc>
          <w:tcPr>
            <w:tcW w:w="5386" w:type="dxa"/>
            <w:tcBorders/>
            <w:shd w:fill="CCEEFF" w:val="clear"/>
            <w:vAlign w:val="center"/>
          </w:tcPr>
          <w:p>
            <w:pPr>
              <w:pStyle w:val="TableContents"/>
              <w:bidi w:val="0"/>
              <w:spacing w:before="0" w:after="283"/>
              <w:jc w:val="left"/>
              <w:rPr/>
            </w:pPr>
            <w:hyperlink w:anchor="consolidated_statements_comp_loss">
              <w:r>
                <w:rPr>
                  <w:rStyle w:val="InternetLink"/>
                  <w:rFonts w:ascii="Times New Roman" w:hAnsi="Times New Roman"/>
                  <w:color w:val="0000FF"/>
                  <w:sz w:val="20"/>
                  <w:u w:val="single"/>
                </w:rPr>
                <w:t>Consolidated Statements of Comprehensive Loss</w:t>
              </w:r>
            </w:hyperlink>
          </w:p>
        </w:tc>
        <w:tc>
          <w:tcPr>
            <w:tcW w:w="361" w:type="dxa"/>
            <w:tcBorders/>
            <w:shd w:fill="CCEEFF" w:val="cle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95</w:t>
            </w:r>
          </w:p>
        </w:tc>
      </w:tr>
      <w:tr>
        <w:trPr/>
        <w:tc>
          <w:tcPr>
            <w:tcW w:w="5386" w:type="dxa"/>
            <w:tcBorders/>
            <w:shd w:fill="FFFFFF" w:val="clear"/>
            <w:vAlign w:val="center"/>
          </w:tcPr>
          <w:p>
            <w:pPr>
              <w:pStyle w:val="TableContents"/>
              <w:bidi w:val="0"/>
              <w:spacing w:before="0" w:after="283"/>
              <w:jc w:val="left"/>
              <w:rPr/>
            </w:pPr>
            <w:hyperlink w:anchor="consolidated_statements_of_equity">
              <w:r>
                <w:rPr>
                  <w:rStyle w:val="InternetLink"/>
                  <w:rFonts w:ascii="Times New Roman" w:hAnsi="Times New Roman"/>
                  <w:color w:val="0000FF"/>
                  <w:sz w:val="20"/>
                  <w:u w:val="single"/>
                </w:rPr>
                <w:t>Consolidated Statements of Shareholders Equity</w:t>
              </w:r>
            </w:hyperlink>
          </w:p>
        </w:tc>
        <w:tc>
          <w:tcPr>
            <w:tcW w:w="361" w:type="dxa"/>
            <w:tcBorders/>
            <w:shd w:fill="FFFFFF" w:val="cle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96</w:t>
            </w:r>
          </w:p>
        </w:tc>
      </w:tr>
      <w:tr>
        <w:trPr/>
        <w:tc>
          <w:tcPr>
            <w:tcW w:w="5386" w:type="dxa"/>
            <w:tcBorders/>
            <w:shd w:fill="CCEEFF" w:val="cle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Consolidated Statements of Cash Flows</w:t>
              </w:r>
            </w:hyperlink>
          </w:p>
        </w:tc>
        <w:tc>
          <w:tcPr>
            <w:tcW w:w="361" w:type="dxa"/>
            <w:tcBorders/>
            <w:shd w:fill="CCEEFF" w:val="cle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97</w:t>
            </w:r>
          </w:p>
        </w:tc>
      </w:tr>
      <w:tr>
        <w:trPr/>
        <w:tc>
          <w:tcPr>
            <w:tcW w:w="5386" w:type="dxa"/>
            <w:tcBorders/>
            <w:vAlign w:val="center"/>
          </w:tcPr>
          <w:p>
            <w:pPr>
              <w:pStyle w:val="TableContents"/>
              <w:bidi w:val="0"/>
              <w:spacing w:before="0" w:after="283"/>
              <w:jc w:val="left"/>
              <w:rPr/>
            </w:pPr>
            <w:hyperlink w:anchor="notes_to_the_consolidated_financial">
              <w:r>
                <w:rPr>
                  <w:rStyle w:val="InternetLink"/>
                  <w:rFonts w:ascii="Times New Roman" w:hAnsi="Times New Roman"/>
                  <w:color w:val="0000FF"/>
                  <w:sz w:val="20"/>
                  <w:u w:val="single"/>
                </w:rPr>
                <w:t>Notes to the Consolidated Financial Statements</w:t>
              </w:r>
            </w:hyperlink>
          </w:p>
        </w:tc>
        <w:tc>
          <w:tcPr>
            <w:tcW w:w="361" w:type="dxa"/>
            <w:tcBorders/>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98</w:t>
            </w:r>
          </w:p>
        </w:tc>
      </w:tr>
    </w:tbl>
    <w:p>
      <w:pPr>
        <w:pStyle w:val="TextBody"/>
        <w:bidi w:val="0"/>
        <w:jc w:val="both"/>
        <w:rPr/>
      </w:pPr>
      <w:r>
        <w:rPr/>
        <w:t> </w:t>
      </w:r>
    </w:p>
    <w:p>
      <w:pPr>
        <w:pStyle w:val="TextBody"/>
        <w:bidi w:val="0"/>
        <w:spacing w:before="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6" w:name="report_of_independent_registered_public"/>
      <w:bookmarkEnd w:id="16"/>
      <w:r>
        <w:rPr>
          <w:rFonts w:ascii="Times New Roman" w:hAnsi="Times New Roman"/>
          <w:b/>
          <w:color w:val="000000"/>
          <w:sz w:val="20"/>
        </w:rPr>
        <w:t>REPORT OF INDEPENDENT REGISTERED PUBLIC ACCOUNTING FIRM</w:t>
      </w:r>
    </w:p>
    <w:p>
      <w:pPr>
        <w:pStyle w:val="TextBody"/>
        <w:bidi w:val="0"/>
        <w:jc w:val="left"/>
        <w:rPr>
          <w:rFonts w:ascii="Times New Roman" w:hAnsi="Times New Roman"/>
          <w:color w:val="000000"/>
          <w:sz w:val="20"/>
        </w:rPr>
      </w:pPr>
      <w:r>
        <w:rPr>
          <w:rFonts w:ascii="Times New Roman" w:hAnsi="Times New Roman"/>
          <w:color w:val="000000"/>
          <w:sz w:val="20"/>
        </w:rPr>
        <w:t>Board of Directors and Shareholders of</w:t>
      </w:r>
    </w:p>
    <w:p>
      <w:pPr>
        <w:pStyle w:val="TextBody"/>
        <w:bidi w:val="0"/>
        <w:jc w:val="left"/>
        <w:rPr>
          <w:rFonts w:ascii="Times New Roman" w:hAnsi="Times New Roman"/>
          <w:color w:val="000000"/>
          <w:sz w:val="20"/>
        </w:rPr>
      </w:pPr>
      <w:r>
        <w:rPr>
          <w:rFonts w:ascii="Times New Roman" w:hAnsi="Times New Roman"/>
          <w:color w:val="000000"/>
          <w:sz w:val="20"/>
        </w:rPr>
        <w:t>Lineage Cell Therapeutics, Inc.</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audited the accompanying consolidated balance sheets of Lineage Cell Therapeutics, Inc. and Subsidiaries (collectively, the “Company”) as of December 31, 2023 and 2022, the related consolidated statements of operations, comprehensive loss, changes in shareholders’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Accounting for Revenue Recognition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Description of the Matter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recorded deferred revenue of $28.7 million as of December 31, 2023 and revenue of $7.6 million for the year ended December 31, 2023 from a collaboration agreement. As described in Note 3, the Company has concluded that the grant of licenses for the Company’s technology or programs, research and development services, and services or obligations in connection with participation in research or steering committees represent a combined performance obligation for which the Company recognizes collaboration revenues as the services are performed over time.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Auditing the Company’s accounting for revenues from this collaboration agreement was especially complex and required significant judgments, primarily in evaluating the period in which the performance obligation was satisfied and evaluating estimates of total expected inputs under the input method for revenue recognized over time.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How We Addressed the Matter in Our Audit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test the measurement of efforts toward satisfying the performance obligation, our audit procedures included, among others, gaining an understanding of the internal control process over revenue from collaboration agreements, reviewing management’s analysis for accuracy and completeness by agreeing data to the underlying agreement, evaluating the assumptions used for forecasting, performing analytical procedures on budget to actual and forecasted costs, evaluating the application of the input method for the recognition of revenue, and on a sample basis, testing the estimated costs and actual costs incurred to underlying source documents.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/s/ WithumSmith+Brown, PC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served as the Company's auditor since 2014.</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San Francisco, California</w:t>
      </w:r>
    </w:p>
    <w:p>
      <w:pPr>
        <w:pStyle w:val="TextBody"/>
        <w:bidi w:val="0"/>
        <w:jc w:val="left"/>
        <w:rPr>
          <w:rFonts w:ascii="Times New Roman" w:hAnsi="Times New Roman"/>
          <w:color w:val="000000"/>
          <w:sz w:val="20"/>
        </w:rPr>
      </w:pPr>
      <w:r>
        <w:rPr>
          <w:rFonts w:ascii="Times New Roman" w:hAnsi="Times New Roman"/>
          <w:color w:val="000000"/>
          <w:sz w:val="20"/>
        </w:rPr>
        <w:t>March 7, 2024</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PCAOB ID Number 100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17" w:name="consolidated_balance_sheets"/>
      <w:bookmarkEnd w:id="17"/>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59"/>
        <w:gridCol w:w="246"/>
        <w:gridCol w:w="238"/>
        <w:gridCol w:w="949"/>
        <w:gridCol w:w="166"/>
        <w:gridCol w:w="246"/>
        <w:gridCol w:w="238"/>
        <w:gridCol w:w="949"/>
        <w:gridCol w:w="414"/>
      </w:tblGrid>
      <w:tr>
        <w:trPr/>
        <w:tc>
          <w:tcPr>
            <w:tcW w:w="67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6759"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vAlign w:val="center"/>
          </w:tcPr>
          <w:p>
            <w:pPr>
              <w:pStyle w:val="TableContents"/>
              <w:bidi w:val="0"/>
              <w:spacing w:before="0" w:after="283"/>
              <w:ind w:left="0" w:right="0" w:firstLine="100"/>
              <w:jc w:val="left"/>
              <w:rPr/>
            </w:pPr>
            <w:r>
              <w:rPr/>
              <w:t> </w:t>
            </w:r>
          </w:p>
        </w:tc>
        <w:tc>
          <w:tcPr>
            <w:tcW w:w="1187" w:type="dxa"/>
            <w:gridSpan w:val="2"/>
            <w:tcBorders/>
            <w:shd w:fill="CFF0FC" w:val="clear"/>
            <w:vAlign w:val="center"/>
          </w:tcPr>
          <w:p>
            <w:pPr>
              <w:pStyle w:val="TableContents"/>
              <w:bidi w:val="0"/>
              <w:spacing w:before="0" w:after="283"/>
              <w:ind w:left="100" w:right="0" w:firstLine="100"/>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187" w:type="dxa"/>
            <w:gridSpan w:val="2"/>
            <w:tcBorders/>
            <w:shd w:fill="CFF0FC" w:val="clear"/>
            <w:vAlign w:val="center"/>
          </w:tcPr>
          <w:p>
            <w:pPr>
              <w:pStyle w:val="TableContents"/>
              <w:bidi w:val="0"/>
              <w:spacing w:before="0" w:after="283"/>
              <w:ind w:left="100" w:right="0" w:firstLine="100"/>
              <w:jc w:val="left"/>
              <w:rPr/>
            </w:pPr>
            <w:r>
              <w:rPr/>
              <w:t> </w:t>
            </w:r>
          </w:p>
        </w:tc>
        <w:tc>
          <w:tcPr>
            <w:tcW w:w="414" w:type="dxa"/>
            <w:tcBorders/>
            <w:shd w:fill="CFF0FC" w:val="clear"/>
            <w:vAlign w:val="center"/>
          </w:tcPr>
          <w:p>
            <w:pPr>
              <w:pStyle w:val="TableContents"/>
              <w:bidi w:val="0"/>
              <w:spacing w:before="0" w:after="283"/>
              <w:jc w:val="left"/>
              <w:rPr/>
            </w:pPr>
            <w:r>
              <w:rPr/>
              <w:t> </w:t>
            </w:r>
          </w:p>
        </w:tc>
      </w:tr>
      <w:tr>
        <w:trPr/>
        <w:tc>
          <w:tcPr>
            <w:tcW w:w="67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46" w:type="dxa"/>
            <w:tcBorders/>
            <w:shd w:fill="FFFFFF" w:val="clear"/>
            <w:vAlign w:val="center"/>
          </w:tcPr>
          <w:p>
            <w:pPr>
              <w:pStyle w:val="TableContents"/>
              <w:bidi w:val="0"/>
              <w:spacing w:before="0" w:after="283"/>
              <w:ind w:left="0" w:right="0" w:firstLine="100"/>
              <w:jc w:val="left"/>
              <w:rPr/>
            </w:pPr>
            <w:r>
              <w:rPr/>
              <w:t> </w:t>
            </w:r>
          </w:p>
        </w:tc>
        <w:tc>
          <w:tcPr>
            <w:tcW w:w="1187" w:type="dxa"/>
            <w:gridSpan w:val="2"/>
            <w:tcBorders/>
            <w:shd w:fill="FFFFFF" w:val="clear"/>
            <w:vAlign w:val="center"/>
          </w:tcPr>
          <w:p>
            <w:pPr>
              <w:pStyle w:val="TableContents"/>
              <w:bidi w:val="0"/>
              <w:spacing w:before="0" w:after="283"/>
              <w:ind w:left="100" w:right="0" w:firstLine="100"/>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187" w:type="dxa"/>
            <w:gridSpan w:val="2"/>
            <w:tcBorders/>
            <w:shd w:fill="FFFFFF" w:val="clear"/>
            <w:vAlign w:val="center"/>
          </w:tcPr>
          <w:p>
            <w:pPr>
              <w:pStyle w:val="TableContents"/>
              <w:bidi w:val="0"/>
              <w:spacing w:before="0" w:after="283"/>
              <w:ind w:left="100" w:right="0" w:firstLine="100"/>
              <w:jc w:val="left"/>
              <w:rPr/>
            </w:pPr>
            <w:r>
              <w:rPr/>
              <w:t> </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75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35,442</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11,355</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75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2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46,520</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75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 (Note 3)</w:t>
            </w:r>
          </w:p>
        </w:tc>
        <w:tc>
          <w:tcPr>
            <w:tcW w:w="2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75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46"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2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38,441</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414" w:type="dxa"/>
            <w:tcBorders/>
            <w:shd w:fill="CFF0FC" w:val="clear"/>
            <w:vAlign w:val="center"/>
          </w:tcPr>
          <w:p>
            <w:pPr>
              <w:pStyle w:val="TableContents"/>
              <w:bidi w:val="0"/>
              <w:spacing w:before="0" w:after="283"/>
              <w:ind w:left="0" w:right="0" w:firstLine="80"/>
              <w:jc w:val="left"/>
              <w:rPr/>
            </w:pPr>
            <w:r>
              <w:rPr/>
              <w:t> </w:t>
            </w:r>
          </w:p>
        </w:tc>
      </w:tr>
      <w:tr>
        <w:trPr/>
        <w:tc>
          <w:tcPr>
            <w:tcW w:w="6759" w:type="dxa"/>
            <w:tcBorders/>
            <w:shd w:fill="FFFFFF" w:val="clear"/>
            <w:vAlign w:val="center"/>
          </w:tcPr>
          <w:p>
            <w:pPr>
              <w:pStyle w:val="TableContents"/>
              <w:bidi w:val="0"/>
              <w:spacing w:before="0" w:after="283"/>
              <w:ind w:left="80" w:right="0" w:firstLine="80"/>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87"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r>
      <w:tr>
        <w:trPr/>
        <w:tc>
          <w:tcPr>
            <w:tcW w:w="67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246" w:type="dxa"/>
            <w:tcBorders/>
            <w:shd w:fill="FFFFFF" w:val="clear"/>
            <w:vAlign w:val="center"/>
          </w:tcPr>
          <w:p>
            <w:pPr>
              <w:pStyle w:val="TableContents"/>
              <w:bidi w:val="0"/>
              <w:spacing w:before="0" w:after="283"/>
              <w:jc w:val="left"/>
              <w:rPr/>
            </w:pPr>
            <w:r>
              <w:rPr/>
              <w:t> </w:t>
            </w:r>
          </w:p>
        </w:tc>
        <w:tc>
          <w:tcPr>
            <w:tcW w:w="11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87"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75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 (Notes 6 and 14)</w:t>
            </w:r>
          </w:p>
        </w:tc>
        <w:tc>
          <w:tcPr>
            <w:tcW w:w="2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4,767</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5,673</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75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Deposits and other long-term assets</w:t>
            </w:r>
          </w:p>
        </w:tc>
        <w:tc>
          <w:tcPr>
            <w:tcW w:w="2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75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w:t>
            </w:r>
          </w:p>
        </w:tc>
        <w:tc>
          <w:tcPr>
            <w:tcW w:w="2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75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246"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46,692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5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246" w:type="dxa"/>
            <w:tcBorders/>
            <w:shd w:fill="CFF0FC" w:val="cle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123,664</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759" w:type="dxa"/>
            <w:tcBorders/>
            <w:shd w:fill="FFFFFF" w:val="clear"/>
            <w:vAlign w:val="center"/>
          </w:tcPr>
          <w:p>
            <w:pPr>
              <w:pStyle w:val="TableContents"/>
              <w:bidi w:val="0"/>
              <w:spacing w:before="0" w:after="283"/>
              <w:ind w:left="40" w:right="0" w:firstLine="40"/>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1187"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jc w:val="right"/>
              <w:rPr/>
            </w:pPr>
            <w:r>
              <w:rPr/>
              <w:t> </w:t>
            </w:r>
          </w:p>
        </w:tc>
      </w:tr>
      <w:tr>
        <w:trPr/>
        <w:tc>
          <w:tcPr>
            <w:tcW w:w="675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246" w:type="dxa"/>
            <w:tcBorders/>
            <w:shd w:fill="FFFFFF" w:val="clear"/>
            <w:vAlign w:val="center"/>
          </w:tcPr>
          <w:p>
            <w:pPr>
              <w:pStyle w:val="TableContents"/>
              <w:bidi w:val="0"/>
              <w:spacing w:before="0" w:after="283"/>
              <w:jc w:val="left"/>
              <w:rPr/>
            </w:pPr>
            <w:r>
              <w:rPr/>
              <w:t> </w:t>
            </w:r>
          </w:p>
        </w:tc>
        <w:tc>
          <w:tcPr>
            <w:tcW w:w="11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1187"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jc w:val="right"/>
              <w:rPr/>
            </w:pPr>
            <w:r>
              <w:rPr/>
              <w:t> </w:t>
            </w:r>
          </w:p>
        </w:tc>
      </w:tr>
      <w:tr>
        <w:trPr/>
        <w:tc>
          <w:tcPr>
            <w:tcW w:w="67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46" w:type="dxa"/>
            <w:tcBorders/>
            <w:shd w:fill="CFF0FC" w:val="clear"/>
            <w:vAlign w:val="center"/>
          </w:tcPr>
          <w:p>
            <w:pPr>
              <w:pStyle w:val="TableContents"/>
              <w:bidi w:val="0"/>
              <w:spacing w:before="0" w:after="283"/>
              <w:jc w:val="left"/>
              <w:rPr/>
            </w:pPr>
            <w:r>
              <w:rPr/>
              <w:t> </w:t>
            </w:r>
          </w:p>
        </w:tc>
        <w:tc>
          <w:tcPr>
            <w:tcW w:w="11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1187" w:type="dxa"/>
            <w:gridSpan w:val="2"/>
            <w:tcBorders/>
            <w:shd w:fill="CFF0FC" w:val="clear"/>
            <w:vAlign w:val="center"/>
          </w:tcPr>
          <w:p>
            <w:pPr>
              <w:pStyle w:val="TableContents"/>
              <w:bidi w:val="0"/>
              <w:spacing w:before="0" w:after="283"/>
              <w:jc w:val="right"/>
              <w:rPr/>
            </w:pPr>
            <w:r>
              <w:rPr/>
              <w:t> </w:t>
            </w:r>
          </w:p>
        </w:tc>
        <w:tc>
          <w:tcPr>
            <w:tcW w:w="414" w:type="dxa"/>
            <w:tcBorders/>
            <w:shd w:fill="CFF0FC" w:val="clear"/>
            <w:vAlign w:val="center"/>
          </w:tcPr>
          <w:p>
            <w:pPr>
              <w:pStyle w:val="TableContents"/>
              <w:bidi w:val="0"/>
              <w:spacing w:before="0" w:after="283"/>
              <w:ind w:left="0" w:right="0" w:firstLine="200"/>
              <w:jc w:val="right"/>
              <w:rPr/>
            </w:pPr>
            <w:r>
              <w:rPr/>
              <w:t> </w:t>
            </w:r>
          </w:p>
        </w:tc>
      </w:tr>
      <w:tr>
        <w:trPr/>
        <w:tc>
          <w:tcPr>
            <w:tcW w:w="675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 and accrued liabilities</w:t>
            </w:r>
          </w:p>
        </w:tc>
        <w:tc>
          <w:tcPr>
            <w:tcW w:w="2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6,270</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8,608</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75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current portion (Note 14)</w:t>
            </w:r>
          </w:p>
        </w:tc>
        <w:tc>
          <w:tcPr>
            <w:tcW w:w="2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75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 liabilities, current portion (Note 14)</w:t>
            </w:r>
          </w:p>
        </w:tc>
        <w:tc>
          <w:tcPr>
            <w:tcW w:w="2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75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revenues, current portion (Note 3)</w:t>
            </w:r>
          </w:p>
        </w:tc>
        <w:tc>
          <w:tcPr>
            <w:tcW w:w="2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10,808</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9,421</w:t>
            </w:r>
          </w:p>
        </w:tc>
        <w:tc>
          <w:tcPr>
            <w:tcW w:w="414" w:type="dxa"/>
            <w:tcBorders/>
            <w:shd w:fill="CFF0FC" w:val="clear"/>
            <w:vAlign w:val="center"/>
          </w:tcPr>
          <w:p>
            <w:pPr>
              <w:pStyle w:val="TableContents"/>
              <w:bidi w:val="0"/>
              <w:spacing w:before="0" w:after="283"/>
              <w:jc w:val="left"/>
              <w:rPr/>
            </w:pPr>
            <w:r>
              <w:rPr/>
              <w:t> </w:t>
            </w:r>
          </w:p>
        </w:tc>
      </w:tr>
      <w:tr>
        <w:trPr/>
        <w:tc>
          <w:tcPr>
            <w:tcW w:w="67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246" w:type="dxa"/>
            <w:tcBorders/>
            <w:shd w:fill="FFFFFF" w:val="clear"/>
            <w:vAlign w:val="center"/>
          </w:tcPr>
          <w:p>
            <w:pPr>
              <w:pStyle w:val="TableContents"/>
              <w:bidi w:val="0"/>
              <w:spacing w:before="0" w:after="283"/>
              <w:jc w:val="left"/>
              <w:rPr/>
            </w:pPr>
            <w:r>
              <w:rPr/>
              <w:t> </w:t>
            </w:r>
          </w:p>
        </w:tc>
        <w:tc>
          <w:tcPr>
            <w:tcW w:w="23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4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3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4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18,981</w:t>
            </w:r>
          </w:p>
        </w:tc>
        <w:tc>
          <w:tcPr>
            <w:tcW w:w="414"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40"/>
              <w:jc w:val="left"/>
              <w:rPr/>
            </w:pPr>
            <w:r>
              <w:rPr/>
              <w:t> </w:t>
            </w:r>
          </w:p>
        </w:tc>
      </w:tr>
      <w:tr>
        <w:trPr/>
        <w:tc>
          <w:tcPr>
            <w:tcW w:w="6759" w:type="dxa"/>
            <w:tcBorders/>
            <w:shd w:fill="FFFFFF" w:val="clear"/>
            <w:vAlign w:val="center"/>
          </w:tcPr>
          <w:p>
            <w:pPr>
              <w:pStyle w:val="TableContents"/>
              <w:bidi w:val="0"/>
              <w:spacing w:before="0" w:after="283"/>
              <w:ind w:left="40" w:right="0" w:firstLine="40"/>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87"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r>
      <w:tr>
        <w:trPr/>
        <w:tc>
          <w:tcPr>
            <w:tcW w:w="67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246" w:type="dxa"/>
            <w:tcBorders/>
            <w:shd w:fill="CFF0FC" w:val="clear"/>
            <w:vAlign w:val="center"/>
          </w:tcPr>
          <w:p>
            <w:pPr>
              <w:pStyle w:val="TableContents"/>
              <w:bidi w:val="0"/>
              <w:spacing w:before="0" w:after="283"/>
              <w:jc w:val="left"/>
              <w:rPr/>
            </w:pPr>
            <w:r>
              <w:rPr/>
              <w:t> </w:t>
            </w:r>
          </w:p>
        </w:tc>
        <w:tc>
          <w:tcPr>
            <w:tcW w:w="11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1187" w:type="dxa"/>
            <w:gridSpan w:val="2"/>
            <w:tcBorders/>
            <w:shd w:fill="CFF0FC" w:val="clear"/>
            <w:vAlign w:val="center"/>
          </w:tcPr>
          <w:p>
            <w:pPr>
              <w:pStyle w:val="TableContents"/>
              <w:bidi w:val="0"/>
              <w:spacing w:before="0" w:after="283"/>
              <w:jc w:val="right"/>
              <w:rPr/>
            </w:pPr>
            <w:r>
              <w:rPr/>
              <w:t> </w:t>
            </w:r>
          </w:p>
        </w:tc>
        <w:tc>
          <w:tcPr>
            <w:tcW w:w="414" w:type="dxa"/>
            <w:tcBorders/>
            <w:shd w:fill="CFF0FC" w:val="clear"/>
            <w:vAlign w:val="center"/>
          </w:tcPr>
          <w:p>
            <w:pPr>
              <w:pStyle w:val="TableContents"/>
              <w:bidi w:val="0"/>
              <w:spacing w:before="0" w:after="283"/>
              <w:ind w:left="0" w:right="0" w:firstLine="200"/>
              <w:jc w:val="right"/>
              <w:rPr/>
            </w:pPr>
            <w:r>
              <w:rPr/>
              <w:t> </w:t>
            </w:r>
          </w:p>
        </w:tc>
      </w:tr>
      <w:tr>
        <w:trPr/>
        <w:tc>
          <w:tcPr>
            <w:tcW w:w="675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tax liability (Note 13)</w:t>
            </w:r>
          </w:p>
        </w:tc>
        <w:tc>
          <w:tcPr>
            <w:tcW w:w="2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75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revenues, net of current portion (Note 3)</w:t>
            </w:r>
          </w:p>
        </w:tc>
        <w:tc>
          <w:tcPr>
            <w:tcW w:w="2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18,693</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27,725</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75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net of current portion (Note 14)</w:t>
            </w:r>
          </w:p>
        </w:tc>
        <w:tc>
          <w:tcPr>
            <w:tcW w:w="2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75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 liabilities, net of current portion (Note 14)</w:t>
            </w:r>
          </w:p>
        </w:tc>
        <w:tc>
          <w:tcPr>
            <w:tcW w:w="2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75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246"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38,996</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51,728</w:t>
            </w:r>
          </w:p>
        </w:tc>
        <w:tc>
          <w:tcPr>
            <w:tcW w:w="414" w:type="dxa"/>
            <w:tcBorders/>
            <w:shd w:fill="CFF0FC" w:val="clear"/>
            <w:vAlign w:val="center"/>
          </w:tcPr>
          <w:p>
            <w:pPr>
              <w:pStyle w:val="TableContents"/>
              <w:bidi w:val="0"/>
              <w:spacing w:before="0" w:after="283"/>
              <w:ind w:left="0" w:right="0" w:firstLine="40"/>
              <w:jc w:val="left"/>
              <w:rPr/>
            </w:pPr>
            <w:r>
              <w:rPr/>
              <w:t> </w:t>
            </w:r>
          </w:p>
        </w:tc>
      </w:tr>
      <w:tr>
        <w:trPr/>
        <w:tc>
          <w:tcPr>
            <w:tcW w:w="6759" w:type="dxa"/>
            <w:tcBorders/>
            <w:shd w:fill="FFFFFF" w:val="clear"/>
            <w:vAlign w:val="center"/>
          </w:tcPr>
          <w:p>
            <w:pPr>
              <w:pStyle w:val="TableContents"/>
              <w:bidi w:val="0"/>
              <w:spacing w:before="0" w:after="283"/>
              <w:ind w:left="40" w:right="0" w:firstLine="40"/>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1187"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jc w:val="right"/>
              <w:rPr/>
            </w:pPr>
            <w:r>
              <w:rPr/>
              <w:t> </w:t>
            </w:r>
          </w:p>
        </w:tc>
      </w:tr>
      <w:tr>
        <w:trPr/>
        <w:tc>
          <w:tcPr>
            <w:tcW w:w="67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14)</w:t>
            </w:r>
          </w:p>
        </w:tc>
        <w:tc>
          <w:tcPr>
            <w:tcW w:w="246" w:type="dxa"/>
            <w:tcBorders/>
            <w:shd w:fill="FFFFFF" w:val="clear"/>
            <w:vAlign w:val="center"/>
          </w:tcPr>
          <w:p>
            <w:pPr>
              <w:pStyle w:val="TableContents"/>
              <w:bidi w:val="0"/>
              <w:spacing w:before="0" w:after="283"/>
              <w:jc w:val="left"/>
              <w:rPr/>
            </w:pPr>
            <w:r>
              <w:rPr/>
              <w:t> </w:t>
            </w:r>
          </w:p>
        </w:tc>
        <w:tc>
          <w:tcPr>
            <w:tcW w:w="11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87"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ind w:left="0" w:right="0" w:firstLine="40"/>
              <w:jc w:val="left"/>
              <w:rPr/>
            </w:pPr>
            <w:r>
              <w:rPr/>
              <w:t> </w:t>
            </w:r>
          </w:p>
        </w:tc>
      </w:tr>
      <w:tr>
        <w:trPr/>
        <w:tc>
          <w:tcPr>
            <w:tcW w:w="6759" w:type="dxa"/>
            <w:tcBorders/>
            <w:shd w:fill="FFFFFF" w:val="clear"/>
            <w:vAlign w:val="center"/>
          </w:tcPr>
          <w:p>
            <w:pPr>
              <w:pStyle w:val="TableContents"/>
              <w:bidi w:val="0"/>
              <w:spacing w:before="0" w:after="283"/>
              <w:ind w:left="40" w:right="0" w:firstLine="40"/>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1187"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jc w:val="right"/>
              <w:rPr/>
            </w:pPr>
            <w:r>
              <w:rPr/>
              <w:t> </w:t>
            </w:r>
          </w:p>
        </w:tc>
      </w:tr>
      <w:tr>
        <w:trPr/>
        <w:tc>
          <w:tcPr>
            <w:tcW w:w="67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246" w:type="dxa"/>
            <w:tcBorders/>
            <w:shd w:fill="CFF0FC" w:val="clear"/>
            <w:vAlign w:val="center"/>
          </w:tcPr>
          <w:p>
            <w:pPr>
              <w:pStyle w:val="TableContents"/>
              <w:bidi w:val="0"/>
              <w:spacing w:before="0" w:after="283"/>
              <w:jc w:val="left"/>
              <w:rPr/>
            </w:pPr>
            <w:r>
              <w:rPr/>
              <w:t> </w:t>
            </w:r>
          </w:p>
        </w:tc>
        <w:tc>
          <w:tcPr>
            <w:tcW w:w="11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1187" w:type="dxa"/>
            <w:gridSpan w:val="2"/>
            <w:tcBorders/>
            <w:shd w:fill="CFF0FC" w:val="clear"/>
            <w:vAlign w:val="center"/>
          </w:tcPr>
          <w:p>
            <w:pPr>
              <w:pStyle w:val="TableContents"/>
              <w:bidi w:val="0"/>
              <w:spacing w:before="0" w:after="283"/>
              <w:jc w:val="right"/>
              <w:rPr/>
            </w:pPr>
            <w:r>
              <w:rPr/>
              <w:t> </w:t>
            </w:r>
          </w:p>
        </w:tc>
        <w:tc>
          <w:tcPr>
            <w:tcW w:w="414" w:type="dxa"/>
            <w:tcBorders/>
            <w:shd w:fill="CFF0FC" w:val="clear"/>
            <w:vAlign w:val="center"/>
          </w:tcPr>
          <w:p>
            <w:pPr>
              <w:pStyle w:val="TableContents"/>
              <w:bidi w:val="0"/>
              <w:spacing w:before="0" w:after="283"/>
              <w:ind w:left="0" w:right="0" w:firstLine="200"/>
              <w:jc w:val="right"/>
              <w:rPr/>
            </w:pPr>
            <w:r>
              <w:rPr/>
              <w:t> </w:t>
            </w:r>
          </w:p>
        </w:tc>
      </w:tr>
      <w:tr>
        <w:trPr/>
        <w:tc>
          <w:tcPr>
            <w:tcW w:w="675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shares, no par value, 2,000 shares authorized; none issued and outstanding as of December 31, 2023 and 2022</w:t>
            </w:r>
          </w:p>
        </w:tc>
        <w:tc>
          <w:tcPr>
            <w:tcW w:w="2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color w:val="000000"/>
              </w:rPr>
            </w:pPr>
            <w:r>
              <w:rPr>
                <w:color w:val="000000"/>
              </w:rPr>
              <w:t>—</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75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shares, no par value, 450,000 and 250,000 shares authorized as of December 31, 2023 and 2022, respectively; 174,987 and 170,093 shares issued and outstanding as of December 31, 2023 and 2022, respectively</w:t>
            </w:r>
          </w:p>
        </w:tc>
        <w:tc>
          <w:tcPr>
            <w:tcW w:w="2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451,343</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440,280</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75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2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w:t>
            </w:r>
          </w:p>
        </w:tc>
        <w:tc>
          <w:tcPr>
            <w:tcW w:w="41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5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246"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(384,856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(363,370</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Lineage's shareholders’ equity</w:t>
            </w:r>
          </w:p>
        </w:tc>
        <w:tc>
          <w:tcPr>
            <w:tcW w:w="2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63,419</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73,339</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75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Noncontrolling deficit</w:t>
            </w:r>
          </w:p>
        </w:tc>
        <w:tc>
          <w:tcPr>
            <w:tcW w:w="246"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shareholders’ equity</w:t>
            </w:r>
          </w:p>
        </w:tc>
        <w:tc>
          <w:tcPr>
            <w:tcW w:w="246"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71,936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5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246" w:type="dxa"/>
            <w:tcBorders/>
            <w:shd w:fill="CFF0FC" w:val="cle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123,664</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18" w:name="consolidated_statements_of_operations"/>
      <w:bookmarkEnd w:id="18"/>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left"/>
        <w:rPr/>
      </w:pPr>
      <w:r>
        <w:rPr/>
        <w:t> </w:t>
      </w:r>
    </w:p>
    <w:tbl>
      <w:tblPr>
        <w:tblW w:w="8549" w:type="dxa"/>
        <w:jc w:val="left"/>
        <w:tblInd w:w="0" w:type="dxa"/>
        <w:tblLayout w:type="fixed"/>
        <w:tblCellMar>
          <w:top w:w="28" w:type="dxa"/>
          <w:left w:w="28" w:type="dxa"/>
          <w:bottom w:w="28" w:type="dxa"/>
          <w:right w:w="28" w:type="dxa"/>
        </w:tblCellMar>
      </w:tblPr>
      <w:tblGrid>
        <w:gridCol w:w="5716"/>
        <w:gridCol w:w="146"/>
        <w:gridCol w:w="211"/>
        <w:gridCol w:w="781"/>
        <w:gridCol w:w="166"/>
        <w:gridCol w:w="146"/>
        <w:gridCol w:w="211"/>
        <w:gridCol w:w="781"/>
        <w:gridCol w:w="391"/>
      </w:tblGrid>
      <w:tr>
        <w:trPr/>
        <w:tc>
          <w:tcPr>
            <w:tcW w:w="5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57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Collaboration revenues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13,367</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57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Royalties, license and other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14,703</w:t>
            </w:r>
          </w:p>
        </w:tc>
        <w:tc>
          <w:tcPr>
            <w:tcW w:w="391" w:type="dxa"/>
            <w:tcBorders/>
            <w:shd w:fill="FFFFFF" w:val="clear"/>
            <w:vAlign w:val="center"/>
          </w:tcPr>
          <w:p>
            <w:pPr>
              <w:pStyle w:val="TableContents"/>
              <w:bidi w:val="0"/>
              <w:spacing w:before="0" w:after="283"/>
              <w:jc w:val="left"/>
              <w:rPr/>
            </w:pPr>
            <w:r>
              <w:rPr/>
              <w:t> </w:t>
            </w:r>
          </w:p>
        </w:tc>
      </w:tr>
      <w:tr>
        <w:trPr/>
        <w:tc>
          <w:tcPr>
            <w:tcW w:w="57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5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5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57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57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13,987</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57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571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57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57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Loss on marketable equity securities,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w:t>
            </w:r>
          </w:p>
        </w:tc>
        <w:tc>
          <w:tcPr>
            <w:tcW w:w="39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Gain on revaluation of warrant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57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expenses,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(expenses),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571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(25,812</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5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 benefit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571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(26,353</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5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571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ATTRIBUTABLE TO LINEAGE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5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ATTRIBUTABLE TO LINEAGE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5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5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w:t>
              <w:br/>
              <w:t>   SHARES OUTSTANDING:</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5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169,792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19" w:name="consolidated_statements_comp_loss"/>
      <w:bookmarkEnd w:id="19"/>
      <w:r>
        <w:rPr>
          <w:rFonts w:ascii="Times New Roman" w:hAnsi="Times New Roman"/>
          <w:b/>
          <w:color w:val="000000"/>
          <w:sz w:val="20"/>
        </w:rPr>
        <w:t>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42"/>
        <w:gridCol w:w="146"/>
        <w:gridCol w:w="211"/>
        <w:gridCol w:w="736"/>
        <w:gridCol w:w="166"/>
        <w:gridCol w:w="146"/>
        <w:gridCol w:w="211"/>
        <w:gridCol w:w="736"/>
        <w:gridCol w:w="311"/>
      </w:tblGrid>
      <w:tr>
        <w:trPr/>
        <w:tc>
          <w:tcPr>
            <w:tcW w:w="7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75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4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(26,353</w:t>
            </w:r>
          </w:p>
        </w:tc>
        <w:tc>
          <w:tcPr>
            <w:tcW w:w="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5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net of tax:</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754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754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Unrealized gain (loss) on marketable debt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54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(24,713</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54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Comprehensive (income) loss attributable to noncontrolling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54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 ATTRIBUTABLE TO LINEAGE COMMON SHAREHOLDERS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20" w:name="consolidated_statements_of_equity"/>
      <w:bookmarkEnd w:id="20"/>
      <w:r>
        <w:rPr>
          <w:rFonts w:ascii="Times New Roman" w:hAnsi="Times New Roman"/>
          <w:b/>
          <w:color w:val="000000"/>
          <w:sz w:val="20"/>
        </w:rPr>
        <w:t>CONSOLIDATED STATEMENTS OF CHANGES IN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893"/>
        <w:gridCol w:w="146"/>
        <w:gridCol w:w="146"/>
        <w:gridCol w:w="691"/>
        <w:gridCol w:w="146"/>
        <w:gridCol w:w="146"/>
        <w:gridCol w:w="196"/>
        <w:gridCol w:w="691"/>
        <w:gridCol w:w="166"/>
        <w:gridCol w:w="146"/>
        <w:gridCol w:w="196"/>
        <w:gridCol w:w="751"/>
        <w:gridCol w:w="166"/>
        <w:gridCol w:w="146"/>
        <w:gridCol w:w="222"/>
        <w:gridCol w:w="649"/>
        <w:gridCol w:w="166"/>
        <w:gridCol w:w="146"/>
        <w:gridCol w:w="233"/>
        <w:gridCol w:w="683"/>
        <w:gridCol w:w="166"/>
        <w:gridCol w:w="146"/>
        <w:gridCol w:w="196"/>
        <w:gridCol w:w="661"/>
        <w:gridCol w:w="311"/>
      </w:tblGrid>
      <w:tr>
        <w:trPr/>
        <w:tc>
          <w:tcPr>
            <w:tcW w:w="28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89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289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16" w:type="dxa"/>
            <w:gridSpan w:val="6"/>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311" w:type="dxa"/>
            <w:tcBorders/>
            <w:shd w:fill="FFFFFF" w:val="clear"/>
            <w:vAlign w:val="center"/>
          </w:tcPr>
          <w:p>
            <w:pPr>
              <w:pStyle w:val="TableContents"/>
              <w:bidi w:val="0"/>
              <w:spacing w:before="0" w:after="283"/>
              <w:jc w:val="center"/>
              <w:rPr/>
            </w:pPr>
            <w:r>
              <w:rPr/>
              <w:t> </w:t>
            </w:r>
          </w:p>
        </w:tc>
      </w:tr>
      <w:tr>
        <w:trPr/>
        <w:tc>
          <w:tcPr>
            <w:tcW w:w="289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Shareholders’</w:t>
            </w:r>
          </w:p>
        </w:tc>
        <w:tc>
          <w:tcPr>
            <w:tcW w:w="311" w:type="dxa"/>
            <w:tcBorders/>
            <w:shd w:fill="FFFFFF" w:val="clear"/>
            <w:vAlign w:val="center"/>
          </w:tcPr>
          <w:p>
            <w:pPr>
              <w:pStyle w:val="TableContents"/>
              <w:bidi w:val="0"/>
              <w:spacing w:before="0" w:after="283"/>
              <w:jc w:val="center"/>
              <w:rPr/>
            </w:pPr>
            <w:r>
              <w:rPr/>
              <w:t> </w:t>
            </w:r>
          </w:p>
        </w:tc>
      </w:tr>
      <w:tr>
        <w:trPr/>
        <w:tc>
          <w:tcPr>
            <w:tcW w:w="289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 /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3"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169,477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434,529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(337,097</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49"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(1,323</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83"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(5,211</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90,898</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289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 xml:space="preserve">Shares issued upon vesting of </w:t>
              <w:br/>
              <w:t xml:space="preserve">restricted stock units, net of shares </w:t>
              <w:br/>
              <w:t>retired to pay employees’ taxes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89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4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4,287</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289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 xml:space="preserve">Shares issued upon exercise of </w:t>
              <w:br/>
              <w:t>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89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Subsidiary warrant exercise, net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4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991</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289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Unrealized loss on marketable debt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89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Foreign currency translation gain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4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1,790</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289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(26,353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93"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170,093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440,280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(363,370</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49"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(1,403</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(3,571</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71,936</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289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Shares issued through ATM</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6,625</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89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Financing related fees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4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89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 xml:space="preserve">Shares issued upon vesting of </w:t>
              <w:br/>
              <w:t xml:space="preserve">restricted stock units, net of shares </w:t>
              <w:br/>
              <w:t>retired to pay employees’ taxes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89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 xml:space="preserve">Shares issued upon exercise of </w:t>
              <w:br/>
              <w:t>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4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289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4,640</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89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Unrealized gain on marketable debt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4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289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Foreign currency translation gain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89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(21,479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93"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174,987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451,343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(384,856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62,023</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21" w:name="consolidated_statements_of_cash_flows"/>
      <w:bookmarkEnd w:id="21"/>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22"/>
        <w:gridCol w:w="146"/>
        <w:gridCol w:w="196"/>
        <w:gridCol w:w="661"/>
        <w:gridCol w:w="166"/>
        <w:gridCol w:w="146"/>
        <w:gridCol w:w="196"/>
        <w:gridCol w:w="661"/>
        <w:gridCol w:w="411"/>
      </w:tblGrid>
      <w:tr>
        <w:trPr/>
        <w:tc>
          <w:tcPr>
            <w:tcW w:w="7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6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22"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762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attributable to Lineage Cell Therapeutics, Inc.</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(26,273</w:t>
            </w:r>
          </w:p>
        </w:tc>
        <w:tc>
          <w:tcPr>
            <w:tcW w:w="4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allocable to noncontrolling interest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4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Adjustments to reconcile net loss attributable to Lineage Cell Therapeutics, Inc. </w:t>
              <w:br/>
              <w:t>   to net cash (used in) provided by operating activities:</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762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Loss on marketable equity securities,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62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Accretion of income on marketable debt securities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Depreciation expense, including amortization of leasehold improvements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62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Change in right-of-use assets and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Amortization of intangible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62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4,287</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62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Gain on revaluation of warrant liability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Deferred income tax benefit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62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Foreign currency remeasurement and other loss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62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Gain on sale of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4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762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Accounts receivable, net (Note 3)</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50,314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62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62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Accounts payable and accrued liabilities (Note 7)</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(18,702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Deferred revenue (Note 3)</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(13,354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(used in) provided by operating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7622"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762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the sale of marketable equity securities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62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Purchases of marketable debt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(16,403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(53,412</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Maturities of marketable debt securities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62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equipment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7622"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762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employee options exercised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62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Common shares received and retired for employee taxes paid</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exercise of subsidiary warrants,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62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sale of common shares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62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Payments for offering costs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Repayment of finance lease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2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exchange rate changes on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CASH, CASH EQUIVALENTS</w:t>
              <w:br/>
              <w:t>    AND RESTRICTED CASH</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(44,341</w:t>
            </w:r>
          </w:p>
        </w:tc>
        <w:tc>
          <w:tcPr>
            <w:tcW w:w="4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762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762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At beginning of the period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56,277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At end of the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11,936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7622"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DISCLOSURES</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762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Cash paid for interest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411" w:type="dxa"/>
            <w:tcBorders/>
            <w:shd w:fill="CFF0FC" w:val="clear"/>
            <w:vAlign w:val="center"/>
          </w:tcPr>
          <w:p>
            <w:pPr>
              <w:pStyle w:val="TableContents"/>
              <w:bidi w:val="0"/>
              <w:spacing w:before="0" w:after="283"/>
              <w:jc w:val="left"/>
              <w:rPr/>
            </w:pPr>
            <w:r>
              <w:rPr/>
              <w:t> </w:t>
            </w:r>
          </w:p>
        </w:tc>
      </w:tr>
      <w:tr>
        <w:trPr/>
        <w:tc>
          <w:tcPr>
            <w:tcW w:w="76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762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SUPPLEMENTAL SCHEDULE OF NON-CASH FINANCING AND INVESTING ACTIVITIES:</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762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Property and equipment expenditures in accounts payable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62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Amortization of financing costs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62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Receivable from exercise of stock options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411" w:type="dxa"/>
            <w:tcBorders/>
            <w:shd w:fill="CFF0FC" w:val="clear"/>
            <w:vAlign w:val="center"/>
          </w:tcPr>
          <w:p>
            <w:pPr>
              <w:pStyle w:val="TableContents"/>
              <w:bidi w:val="0"/>
              <w:spacing w:before="0" w:after="283"/>
              <w:jc w:val="left"/>
              <w:rPr/>
            </w:pPr>
            <w:r>
              <w:rPr/>
              <w:t> </w:t>
            </w:r>
          </w:p>
        </w:tc>
      </w:tr>
      <w:tr>
        <w:trPr/>
        <w:tc>
          <w:tcPr>
            <w:tcW w:w="76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7622"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Reconciliation of cash, cash equivalents and restricted cash, end of period:</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762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11,355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62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Restricted cash included in deposits and other long-term assets (see Note 14 (Commitments and Contingencies))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2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11,936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22" w:name="notes_to_the_consolidated_financial"/>
      <w:bookmarkEnd w:id="22"/>
      <w:r>
        <w:rPr>
          <w:rFonts w:ascii="Times New Roman" w:hAnsi="Times New Roman"/>
          <w:b/>
          <w:color w:val="000000"/>
          <w:sz w:val="20"/>
        </w:rPr>
        <w:t>NOTES TO THE CONSOLIDATED FINANCIAL STATEMENTS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 Organization, Basis of Presentation and Liquidity</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are a clinical-stage biotechnology company developing novel allogeneic, or "off-the-shelf," cell therapies to address unmet medical needs. Our programs are based on our proprietary cell-based technology platform and associated development and manufacturing capabilities. From this platform, we design, develop, manufacture, and test specialized human cells with anatomical and physiological functions similar or identical to cells found naturally in the human body. The cells we manufacture are created by applying directed differentiation protocols to established, well-characterized, and self-renewing pluripotent cell lines. These protocols generate cells with characteristics associated with specific and desired developmental lineages. Cells derived from such lineages which are relevant to the underlying condition are transplanted into patients in an effort to (a) </w:t>
      </w:r>
      <w:r>
        <w:rPr>
          <w:rFonts w:ascii="Times New Roman" w:hAnsi="Times New Roman"/>
          <w:i/>
          <w:color w:val="000000"/>
          <w:sz w:val="20"/>
        </w:rPr>
        <w:t>replace</w:t>
      </w:r>
      <w:r>
        <w:rPr>
          <w:rFonts w:ascii="Times New Roman" w:hAnsi="Times New Roman"/>
          <w:color w:val="000000"/>
          <w:sz w:val="20"/>
        </w:rPr>
        <w:t xml:space="preserve"> or support cells that are absent or dysfunctional due to degenerative disease, aging, or traumatic injury, and (b) </w:t>
      </w:r>
      <w:r>
        <w:rPr>
          <w:rFonts w:ascii="Times New Roman" w:hAnsi="Times New Roman"/>
          <w:i/>
          <w:color w:val="000000"/>
          <w:sz w:val="20"/>
        </w:rPr>
        <w:t>restore</w:t>
      </w:r>
      <w:r>
        <w:rPr>
          <w:rFonts w:ascii="Times New Roman" w:hAnsi="Times New Roman"/>
          <w:color w:val="000000"/>
          <w:sz w:val="20"/>
        </w:rPr>
        <w:t xml:space="preserve"> or augment the patient's functional activity.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business strategy is to efficiently leverage our technology platform and our development, formulation, delivery, and manufacturing capabilities to advance our programs internally or in conjunction with strategic partners to further enhance their value and probability of success.</w:t>
      </w:r>
    </w:p>
    <w:p>
      <w:pPr>
        <w:pStyle w:val="TextBody"/>
        <w:bidi w:val="0"/>
        <w:spacing w:before="240" w:after="283"/>
        <w:jc w:val="both"/>
        <w:rPr>
          <w:rFonts w:ascii="Times New Roman" w:hAnsi="Times New Roman"/>
          <w:sz w:val="20"/>
        </w:rPr>
      </w:pPr>
      <w:r>
        <w:rPr>
          <w:rFonts w:ascii="Times New Roman" w:hAnsi="Times New Roman"/>
          <w:color w:val="000000"/>
          <w:sz w:val="20"/>
        </w:rPr>
        <w:t>A significant area of focus is a collaboration we entered into with F. Hoffmann-La Roche Ltd and Genentech, Inc., a member of the Roche Group (collectively or individually, “Roche” or “Genentech”), under which our lead cell therapy program known as OpRegen</w:t>
      </w:r>
      <w:r>
        <w:rPr>
          <w:rFonts w:ascii="Times New Roman" w:hAnsi="Times New Roman"/>
          <w:color w:val="000000"/>
          <w:sz w:val="13"/>
        </w:rPr>
        <w:t>®</w:t>
      </w:r>
      <w:r>
        <w:rPr>
          <w:rFonts w:ascii="Times New Roman" w:hAnsi="Times New Roman"/>
          <w:color w:val="000000"/>
          <w:sz w:val="20"/>
        </w:rPr>
        <w:t>, is being developed for the treatment of ocular disorders, including geographic atrophy (“GA”) secondary to age-related macular degeneration (“AMD”). OpRegen (also known as RG6501) is a suspension of human allogeneic retinal pigmented epithelial (“RPE”) cells and is currently being evaluated in a Phase 2a multicenter clinical trial in patients with GA secondary to AMD. OpRegen subretinal delivery has the potential to counteract RPE cell loss in areas of GA lesions by supporting retinal cell health and improving retinal structure and function. Under the terms of the Collaboration and License Agreement we entered into with Roche in December 2021 (the “Roche Agreement”), we received a $50.0 million upfront payment in January 2022 and are eligible to receive up to an additional $620.0 million in developmental, regulatory, and commercialization milestone payments. We also are eligible to receive tiered double-digit percentage royalties on net sales of OpRegen in the U.S. and other major markets.</w:t>
      </w:r>
    </w:p>
    <w:p>
      <w:pPr>
        <w:pStyle w:val="TextBody"/>
        <w:bidi w:val="0"/>
        <w:spacing w:before="240" w:after="283"/>
        <w:jc w:val="both"/>
        <w:rPr>
          <w:rFonts w:ascii="Times New Roman" w:hAnsi="Times New Roman"/>
          <w:sz w:val="20"/>
        </w:rPr>
      </w:pPr>
      <w:r>
        <w:rPr>
          <w:rFonts w:ascii="Times New Roman" w:hAnsi="Times New Roman"/>
          <w:color w:val="000000"/>
          <w:sz w:val="20"/>
        </w:rPr>
        <w:t>Our most advanced unpartnered product candidate is OPC1, an allogeneic oligodendrocyte progenitor cell therapy designed to improve recovery following a spinal cord injury (“SCI”). OPC1 has been tested in two clinical trials to date; a five patient Phase 1 clinical trial in acute thoracic SCI, where all subjects were followed for at least 10 years, and a 25 patient Phase 1/2a multicenter clinical trial in subacute cervical SCI, where all subjects were evaluated for at least two years. Results from both studies have been published in the Journal of Neurosurgery Spine. OPC1 clinical development has been supported in part by a $14.3 million grant from the California Institute for Regenerative Medicine (“CIRM”). In February 2024, we announced the clearance by the FDA of our Investigational New Drug ("IND") amendment for OPC1. Pursuant to the IND amendment, we have initiated activities to open our first clinical site in the DOSED (</w:t>
      </w:r>
      <w:r>
        <w:rPr>
          <w:rFonts w:ascii="Times New Roman" w:hAnsi="Times New Roman"/>
          <w:color w:val="000000"/>
          <w:sz w:val="20"/>
          <w:u w:val="single"/>
        </w:rPr>
        <w:t>D</w:t>
      </w:r>
      <w:r>
        <w:rPr>
          <w:rFonts w:ascii="Times New Roman" w:hAnsi="Times New Roman"/>
          <w:color w:val="000000"/>
          <w:sz w:val="20"/>
        </w:rPr>
        <w:t xml:space="preserve">elivery of </w:t>
      </w:r>
      <w:r>
        <w:rPr>
          <w:rFonts w:ascii="Times New Roman" w:hAnsi="Times New Roman"/>
          <w:color w:val="000000"/>
          <w:sz w:val="20"/>
          <w:u w:val="single"/>
        </w:rPr>
        <w:t>O</w:t>
      </w:r>
      <w:r>
        <w:rPr>
          <w:rFonts w:ascii="Times New Roman" w:hAnsi="Times New Roman"/>
          <w:color w:val="000000"/>
          <w:sz w:val="20"/>
        </w:rPr>
        <w:t xml:space="preserve">ligodendrocyte Progenitor Cells for </w:t>
      </w:r>
      <w:r>
        <w:rPr>
          <w:rFonts w:ascii="Times New Roman" w:hAnsi="Times New Roman"/>
          <w:color w:val="000000"/>
          <w:sz w:val="20"/>
          <w:u w:val="single"/>
        </w:rPr>
        <w:t>S</w:t>
      </w:r>
      <w:r>
        <w:rPr>
          <w:rFonts w:ascii="Times New Roman" w:hAnsi="Times New Roman"/>
          <w:color w:val="000000"/>
          <w:sz w:val="20"/>
        </w:rPr>
        <w:t xml:space="preserve">pinal Cord Injury: </w:t>
      </w:r>
      <w:r>
        <w:rPr>
          <w:rFonts w:ascii="Times New Roman" w:hAnsi="Times New Roman"/>
          <w:color w:val="000000"/>
          <w:sz w:val="20"/>
          <w:u w:val="single"/>
        </w:rPr>
        <w:t>E</w:t>
      </w:r>
      <w:r>
        <w:rPr>
          <w:rFonts w:ascii="Times New Roman" w:hAnsi="Times New Roman"/>
          <w:color w:val="000000"/>
          <w:sz w:val="20"/>
        </w:rPr>
        <w:t xml:space="preserve">valuation of a Novel </w:t>
      </w:r>
      <w:r>
        <w:rPr>
          <w:rFonts w:ascii="Times New Roman" w:hAnsi="Times New Roman"/>
          <w:color w:val="000000"/>
          <w:sz w:val="20"/>
          <w:u w:val="single"/>
        </w:rPr>
        <w:t>D</w:t>
      </w:r>
      <w:r>
        <w:rPr>
          <w:rFonts w:ascii="Times New Roman" w:hAnsi="Times New Roman"/>
          <w:color w:val="000000"/>
          <w:sz w:val="20"/>
        </w:rPr>
        <w:t>evice) clinical study, to evaluate the safety and utility of a novel spinal cord delivery device to administer OPC1 to the spinal parenchyma in subacute and chronic SCI patients. We expect the initial clinical site opening to occur in the second quarter of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neuroscience focused pipeline of allogeneic, or “off-the-shelf”, cell therapy programs currently includes: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RG6501 (OpRegen), an allogeneic RPE cell replacement therapy currently in a Phase 2a multicenter, open-label, single arm clinical trial, being conducted by Genentech, for the treatment of GA secondary to AMD, also known as atrophic or dry AMD.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OPC1, an allogeneic oligodendrocyte progenitor cell therapy which will be evaluated in the DOSED clinical study to test the safety and utility of a novel spinal cord delivery device in both subacute and chronic spinal cord injuries and continues to be evaluated in long-term follow-up from a Phase 1/2a multicenter clinical trial for subacute cervical spinal cord injuries.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ANP1, an allogeneic auditory neuron progenitor cell transplant currently in preclinical development for the treatment of debilitating hearing loss.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PNC1, an allogeneic photoreceptor cell transplant currently in preclinical development for the treatment of vision loss due to photoreceptor dysfunction or damage.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RND1, a novel hypoimmune induced pluripotent stem cell (“iPSC”) line being developed in collaboration with Eterna Therapeutics Inc. (“Eterna”), which will be evaluated for differentiation into cell transplant product candidates for central nervous system ("CNS") diseases and other neurology indications.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additional undisclosed product candidates being considered for development, and we may consider others, which cover a range of therapeutic areas and unmet medical needs. Generally, these product candidates are based on the same platform technology and employ a similar guided cell differentiation and transplant approach as the product candidates detailed above, but in some cases may also include genetic modifications designed to enhance efficacy and/or safety profiles.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efforts to broaden the application of our cell therapy platform and support long-term growth include a strategic collaboration we entered into with Eterna. This reflects a portion of our corporate strategy to capitalize on our process development capabilities by combining them with cell engineering and/or editing technologies, to create novel cell therapies with potentially superior product profiles compared to currently marketed therapies, if 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seeking to create value for shareholders by developing product candidates and advancing those candidates through clinical development, we also may seek to create value from our non-core intellectual property or related technologies and capabilities, through licensing collaborations and/or other strategic transactions, such as our business development approach to our VAC dendritic cell therapy platform.</w:t>
      </w:r>
    </w:p>
    <w:p>
      <w:pPr>
        <w:pStyle w:val="TextBody"/>
        <w:bidi w:val="0"/>
        <w:spacing w:before="360" w:after="283"/>
        <w:jc w:val="both"/>
        <w:rPr>
          <w:rFonts w:ascii="Times New Roman" w:hAnsi="Times New Roman"/>
          <w:sz w:val="20"/>
        </w:rPr>
      </w:pPr>
      <w:r>
        <w:rPr>
          <w:rFonts w:ascii="Times New Roman" w:hAnsi="Times New Roman"/>
          <w:i/>
          <w:color w:val="000000"/>
          <w:sz w:val="20"/>
        </w:rPr>
        <w:t>Use of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consolidated financial statements in conformity with accounting principles generally accepted in the U.S.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with consideration given to materiality. Significant estimates and assumptions which are subject to significant judgment include those related to revenue recognition under collaborative agreements, research and development costs, impairment of long-lived intangible assets, deferred income taxes and tax reserves, and assumptions used to value stock-based awards or other equity instruments. Actual results could differ materially from those estimates.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Principles of consolidation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Lineage’s consolidated financial statements include the accounts of its subsidiaries. The following table reflects Lineage’s ownership, directly or through one or more subsidiaries of the outstanding shares of its operating subsidiaries as of December 31, 2023.</w:t>
      </w:r>
    </w:p>
    <w:p>
      <w:pPr>
        <w:pStyle w:val="TextBody"/>
        <w:bidi w:val="0"/>
        <w:jc w:val="both"/>
        <w:rPr/>
      </w:pPr>
      <w:r>
        <w:rPr/>
        <w:t> </w:t>
      </w:r>
    </w:p>
    <w:tbl>
      <w:tblPr>
        <w:tblW w:w="8812" w:type="dxa"/>
        <w:jc w:val="left"/>
        <w:tblInd w:w="0" w:type="dxa"/>
        <w:tblLayout w:type="fixed"/>
        <w:tblCellMar>
          <w:top w:w="28" w:type="dxa"/>
          <w:left w:w="28" w:type="dxa"/>
          <w:bottom w:w="28" w:type="dxa"/>
          <w:right w:w="28" w:type="dxa"/>
        </w:tblCellMar>
      </w:tblPr>
      <w:tblGrid>
        <w:gridCol w:w="2551"/>
        <w:gridCol w:w="146"/>
        <w:gridCol w:w="3961"/>
        <w:gridCol w:w="146"/>
        <w:gridCol w:w="886"/>
        <w:gridCol w:w="146"/>
        <w:gridCol w:w="976"/>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2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Subsidiary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Field of Business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Lineage </w:t>
              <w:br/>
              <w:t>Ownership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Country</w:t>
            </w:r>
          </w:p>
        </w:tc>
      </w:tr>
      <w:tr>
        <w:trPr/>
        <w:tc>
          <w:tcPr>
            <w:tcW w:w="2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Cell Cure Neurosciences Ltd .</w:t>
            </w:r>
          </w:p>
        </w:tc>
        <w:tc>
          <w:tcPr>
            <w:tcW w:w="146" w:type="dxa"/>
            <w:tcBorders/>
            <w:shd w:fill="CFF0FC" w:val="clear"/>
            <w:vAlign w:val="center"/>
          </w:tcPr>
          <w:p>
            <w:pPr>
              <w:pStyle w:val="TableContents"/>
              <w:bidi w:val="0"/>
              <w:spacing w:before="0" w:after="283"/>
              <w:jc w:val="left"/>
              <w:rPr/>
            </w:pPr>
            <w:r>
              <w:rPr/>
              <w:t> </w:t>
            </w:r>
          </w:p>
        </w:tc>
        <w:tc>
          <w:tcPr>
            <w:tcW w:w="39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of Lineage’s product candidates</w:t>
            </w:r>
          </w:p>
        </w:tc>
        <w:tc>
          <w:tcPr>
            <w:tcW w:w="146" w:type="dxa"/>
            <w:tcBorders/>
            <w:shd w:fill="CFF0FC" w:val="clear"/>
            <w:vAlign w:val="center"/>
          </w:tcPr>
          <w:p>
            <w:pPr>
              <w:pStyle w:val="TableContents"/>
              <w:bidi w:val="0"/>
              <w:spacing w:before="0" w:after="283"/>
              <w:jc w:val="center"/>
              <w:rPr/>
            </w:pPr>
            <w:r>
              <w:rPr/>
              <w:t> </w:t>
            </w:r>
          </w:p>
        </w:tc>
        <w:tc>
          <w:tcPr>
            <w:tcW w:w="886"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94%</w:t>
            </w:r>
            <w:r>
              <w:rPr>
                <w:rFonts w:ascii="Times New Roman" w:hAnsi="Times New Roman"/>
                <w:color w:val="000000"/>
                <w:sz w:val="13"/>
              </w:rPr>
              <w:t>(1)(2)</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Israel</w:t>
            </w:r>
          </w:p>
        </w:tc>
      </w:tr>
      <w:tr>
        <w:trPr/>
        <w:tc>
          <w:tcPr>
            <w:tcW w:w="2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 Cell International Pte. Ltd.</w:t>
            </w:r>
          </w:p>
        </w:tc>
        <w:tc>
          <w:tcPr>
            <w:tcW w:w="146" w:type="dxa"/>
            <w:tcBorders/>
            <w:shd w:fill="FFFFFF" w:val="clear"/>
            <w:vAlign w:val="center"/>
          </w:tcPr>
          <w:p>
            <w:pPr>
              <w:pStyle w:val="TableContents"/>
              <w:bidi w:val="0"/>
              <w:spacing w:before="0" w:after="283"/>
              <w:jc w:val="left"/>
              <w:rPr/>
            </w:pPr>
            <w:r>
              <w:rPr/>
              <w:t> </w:t>
            </w:r>
          </w:p>
        </w:tc>
        <w:tc>
          <w:tcPr>
            <w:tcW w:w="39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clinical grade cell lines</w:t>
            </w:r>
          </w:p>
        </w:tc>
        <w:tc>
          <w:tcPr>
            <w:tcW w:w="146" w:type="dxa"/>
            <w:tcBorders/>
            <w:shd w:fill="FFFFFF" w:val="clear"/>
            <w:vAlign w:val="center"/>
          </w:tcPr>
          <w:p>
            <w:pPr>
              <w:pStyle w:val="TableContents"/>
              <w:bidi w:val="0"/>
              <w:spacing w:before="0" w:after="283"/>
              <w:jc w:val="right"/>
              <w:rPr/>
            </w:pPr>
            <w:r>
              <w:rPr/>
              <w:t> </w:t>
            </w:r>
          </w:p>
        </w:tc>
        <w:tc>
          <w:tcPr>
            <w:tcW w:w="8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Singapore</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Includes shares owned by Lineage and ES Cell International Pte. Ltd.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In July 2022, Hadasit Bio-Holdings Ltd. exercised warrants to purchase 21,999 ordinary shares of Cell Cure Neurosciences Ltd. ("Cell Cure"). Lineage’s ownership percentage of Cell Cure decreased to approximately 94% as a result of the warrant exercise. As of December 31, 2023, our ownership percentage of Cell Cure was approximately 94%.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material intercompany accounts and transactions have been eliminated in consolidation. As of December 31, 2023, Lineage consolidated its direct and indirect wholly owned or majority-owned subsidiaries because Lineage has the ability to control their operating and financial decisions and policies through its ownership, and the noncontrolling interest is reflected as a separate element of shareholders’ equity on Lineage’s consolidated balance sheets.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31, 2023, we had $35.5 million of cash, cash equivalents and marketable securities. Based on our current operating plan, we believe that our cash, cash equivalents and marketable securities, combined with the $13.8 million net raised in February 2024 through a registered direct offering (See Note 19 - Subsequent Events), will be sufficient to enable us to carry out our planned operations through at least twelve months from the issuance date of our consolidated financial statements.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we have incurred significant operating losses and have funded our operations primarily through the issuance of equity securities, the sale of common stock of our former subsidiaries, OncoCyte Corporation and AgeX Therapeutics, Inc., receipt of proceeds from research grants, revenues from collaborations, royalties from product sales and sales of research products and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$57.2 million remained available for sale under our at the market offering program ("ATM"). See Note 11 (Shareholders’ Equity)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we had $0.1 million of marketable securities. We may use our marketable securities for liquidity as necessary and as market conditions allow. The market value of our marketable securities may not represent the amount that could be realized in a sale of such securities due to various market and regulatory factors, including trading volume, prevailing market conditions and prices at the time of any sale and subsequent sales of securities by the entities. In addition, the value of our marketable securities may be significantly and adversely impacted by deteriorating global economic conditions and the recent disruptions to and volatility in the credit and financial markets in the United States and worldwide resulting from the recent pandemics, including the COVID-19 pandemic, geopolitical conflicts, political and economic instability, rising inflation and interest rates, and other macroeconomic factors.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Additional Capital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financial obligations primarily consist of obligations to licensors under license agreements, obligations related to grants received from government entities, including the Israel Innovation Authority (“IIA”), obligations under contracts with vendors who provide research services and purchase commitments with suppliers.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obligations to licensors under license agreements and our obligations related to grants received from government entities require us to make future payments, such as sublicense fees, milestone payments, redemption fees, royalties and patent maintenance costs. Sublicense fees are payable to licensors or government entities when we sublicense the applicable intellectual property to third parties; the fees are based on a percentage of the license-related revenue we receive from sublicensees. Milestone payments, including those related to the Roche Agreement, are due to licensors or government entities upon achievement of commercial, development and regulatory milestones. Redemption fees due to the IIA under the Innovation Law are due upon receipt of milestone payments and royalties received under the Roche Agreement. See Note 14 (Commitment and Contingencies) for additional information. Royalties, including those related to royalties we may receive under the Roche Agreement, are payable to licensors or government entities based on a percentage of net sales of licensed products. Patent maintenance costs are payable to licensors as reimbursement for the cost of maintaining license patents. Due to the contingent nature of the payments, the amounts and timing of payments to licensors under our in-license agreements are uncertain and may fluctuate significantly from period to period. As of December 31, 2023, we have not included these commitments on our consolidated balance sheet because the achievement of events that would trigger our payment obligations and the timing thereof are not fixed and determinable.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amounts and timing of payments under these agreements are uncertain and contingent upon the initiation and completion of the services to be provided.</w:t>
      </w:r>
    </w:p>
    <w:p>
      <w:pPr>
        <w:pStyle w:val="TextBody"/>
        <w:bidi w:val="0"/>
        <w:spacing w:before="360" w:after="283"/>
        <w:jc w:val="both"/>
        <w:rPr>
          <w:rFonts w:ascii="Times New Roman" w:hAnsi="Times New Roman"/>
          <w:sz w:val="20"/>
        </w:rPr>
      </w:pPr>
      <w:r>
        <w:rPr>
          <w:rFonts w:ascii="Times New Roman" w:hAnsi="Times New Roman"/>
          <w:b/>
          <w:color w:val="000000"/>
          <w:sz w:val="20"/>
        </w:rPr>
        <w:t>2. Significant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Revenue recognition </w:t>
      </w:r>
      <w:r>
        <w:rPr>
          <w:rFonts w:ascii="Times New Roman" w:hAnsi="Times New Roman"/>
          <w:color w:val="000000"/>
          <w:sz w:val="20"/>
        </w:rPr>
        <w:t>- Lineage recognizes revenue in accordance with Financial Accounting Standards Board (“FASB”) ASU 2014-09</w:t>
      </w:r>
      <w:r>
        <w:rPr>
          <w:rFonts w:ascii="Times New Roman" w:hAnsi="Times New Roman"/>
          <w:i/>
          <w:color w:val="000000"/>
          <w:sz w:val="20"/>
        </w:rPr>
        <w:t>, Revenues from Contracts with Customers (Topic 606)</w:t>
      </w:r>
      <w:r>
        <w:rPr>
          <w:rFonts w:ascii="Times New Roman" w:hAnsi="Times New Roman"/>
          <w:color w:val="000000"/>
          <w:sz w:val="20"/>
        </w:rPr>
        <w:t xml:space="preserve">, and in a manner that depicts the transfer of control of a product or a service to a customer and reflects the amount of the consideration it is entitled to receive in exchange for such product or service. In doing so, Lineage follows a five-step approach: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 Lineage considers the terms of a contract and all relevant facts and circumstances when applying the revenue recognition standard. Lineage applies the revenue recognition standard, including the use of any practical expedients, consistently to contracts with similar characteristics and in similar circumstances. </w:t>
      </w:r>
    </w:p>
    <w:p>
      <w:pPr>
        <w:pStyle w:val="TextBody"/>
        <w:bidi w:val="0"/>
        <w:spacing w:before="240" w:after="283"/>
        <w:jc w:val="both"/>
        <w:rPr>
          <w:rFonts w:ascii="Times New Roman" w:hAnsi="Times New Roman"/>
          <w:sz w:val="20"/>
        </w:rPr>
      </w:pPr>
      <w:r>
        <w:rPr>
          <w:rFonts w:ascii="Times New Roman" w:hAnsi="Times New Roman"/>
          <w:i/>
          <w:color w:val="000000"/>
          <w:sz w:val="20"/>
        </w:rPr>
        <w:t>Marketable Debt Securities</w:t>
      </w:r>
      <w:r>
        <w:rPr>
          <w:rFonts w:ascii="Times New Roman" w:hAnsi="Times New Roman"/>
          <w:color w:val="000000"/>
          <w:sz w:val="20"/>
        </w:rPr>
        <w:t xml:space="preserve"> - Lineage accounts for its holdings of U.S. Treasury securities in accordance with Accounting Standards Codification (“ASC”) 320-10-50, </w:t>
      </w:r>
      <w:r>
        <w:rPr>
          <w:rFonts w:ascii="Times New Roman" w:hAnsi="Times New Roman"/>
          <w:i/>
          <w:color w:val="000000"/>
          <w:sz w:val="20"/>
        </w:rPr>
        <w:t>Debt Securities</w:t>
      </w:r>
      <w:r>
        <w:rPr>
          <w:rFonts w:ascii="Times New Roman" w:hAnsi="Times New Roman"/>
          <w:color w:val="000000"/>
          <w:sz w:val="20"/>
        </w:rPr>
        <w:t>. Marketable debt securities purchased with an original maturity of three months or less have been classified as cash equivalents. All marketable debt securities purchased with an original maturity of more than three months have been classified as “available-for-sale” and are carried at estimated fair value. Unrealized gains and losses are excluded from earnings and are included in other comprehensive income or loss and reported as a separate component of stockholders’ equity or deficit until realized. Realized gains or losses on available-for-sale debt securities are included in other income (expense), net. The amortized cost of debt securities is adjusted for amortization of premiums and accretion of discounts to maturity. Such amortization and accretion, together with interest on securities, are included in interest income on the Company’s consolidated statement of operations. The cost of securities sold is based on the specific-identification method. In accordance with the Company’s investment policy, management invests in debt securities with high credit quality, including U.S. government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Lineage's investments are accounted for as available-for-sale securities and are carried at fair value on the consolidated balance sheets. Any unrealized losses attributable to current expected credit loss (“CECL”) would be recorded through an allowance for credit losses, limited to the amount by which the fair value is below amortized cost, with the offsetting amount recorded in other income or expense in the consolidated statement of operations and comprehensive loss. To date, no such credit losses have occurred or have been recorded. Unrealized losses not attributable to an expected credit loss and unrealized gains on investments are recorded in other comprehensive income (loss) on the consolidated statements of operations and comprehensive loss. Realized gains and losses, if any, on investments classified as available-for-sale securities are included in other income or expense. The amortized cost of investments classified as available-for-sale debt securities is adjusted for amortization of premiums and accretion of discounts to maturity. Such amortization and accretion are included in interest See Note 4 (Marketable Debt Securities) for additional information.</w:t>
      </w:r>
    </w:p>
    <w:p>
      <w:pPr>
        <w:pStyle w:val="TextBody"/>
        <w:bidi w:val="0"/>
        <w:spacing w:before="240" w:after="283"/>
        <w:jc w:val="both"/>
        <w:rPr>
          <w:rFonts w:ascii="Times New Roman" w:hAnsi="Times New Roman"/>
          <w:sz w:val="20"/>
        </w:rPr>
      </w:pPr>
      <w:r>
        <w:rPr>
          <w:rFonts w:ascii="Times New Roman" w:hAnsi="Times New Roman"/>
          <w:i/>
          <w:color w:val="000000"/>
          <w:sz w:val="20"/>
        </w:rPr>
        <w:t>Marketable equity securities</w:t>
      </w:r>
      <w:r>
        <w:rPr>
          <w:rFonts w:ascii="Times New Roman" w:hAnsi="Times New Roman"/>
          <w:color w:val="000000"/>
          <w:sz w:val="20"/>
        </w:rPr>
        <w:t xml:space="preserve"> - Lineage accounts for the shares it holds in OncoCyte and HBL as marketable equity securities in accordance with ASC 320-10-25, </w:t>
      </w:r>
      <w:r>
        <w:rPr>
          <w:rFonts w:ascii="Times New Roman" w:hAnsi="Times New Roman"/>
          <w:i/>
          <w:color w:val="000000"/>
          <w:sz w:val="20"/>
        </w:rPr>
        <w:t>Investments – Debt and Equity Securities</w:t>
      </w:r>
      <w:r>
        <w:rPr>
          <w:rFonts w:ascii="Times New Roman" w:hAnsi="Times New Roman"/>
          <w:color w:val="000000"/>
          <w:sz w:val="20"/>
        </w:rPr>
        <w:t xml:space="preserve">, as amended by Accounting Standards Update (“ASU”) 2016-01, </w:t>
      </w:r>
      <w:r>
        <w:rPr>
          <w:rFonts w:ascii="Times New Roman" w:hAnsi="Times New Roman"/>
          <w:i/>
          <w:color w:val="000000"/>
          <w:sz w:val="20"/>
        </w:rPr>
        <w:t xml:space="preserve">Financial Instruments–Overall: Recognition and Measurement of Financial Assets and Financial Liabilities, </w:t>
      </w:r>
      <w:r>
        <w:rPr>
          <w:rFonts w:ascii="Times New Roman" w:hAnsi="Times New Roman"/>
          <w:color w:val="000000"/>
          <w:sz w:val="20"/>
        </w:rPr>
        <w:t xml:space="preserve">further discussed below.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OncoCyte shares have readily determinable fair values quoted on the NYSE American under trading symbol “OCX”. The HBL shares have a readily determinable fair value quoted on the Tel Aviv Stock Exchange (“TASE”) under the trading symbol “HDST” where share prices are denominated in New Israeli Shekels (NIS).</w:t>
      </w:r>
    </w:p>
    <w:p>
      <w:pPr>
        <w:pStyle w:val="TextBody"/>
        <w:bidi w:val="0"/>
        <w:spacing w:before="240" w:after="283"/>
        <w:jc w:val="both"/>
        <w:rPr>
          <w:rFonts w:ascii="Times New Roman" w:hAnsi="Times New Roman"/>
          <w:sz w:val="20"/>
        </w:rPr>
      </w:pPr>
      <w:r>
        <w:rPr>
          <w:rFonts w:ascii="Times New Roman" w:hAnsi="Times New Roman"/>
          <w:i/>
          <w:color w:val="000000"/>
          <w:sz w:val="20"/>
        </w:rPr>
        <w:t>Royalties from product sales and license fees</w:t>
      </w:r>
      <w:r>
        <w:rPr>
          <w:rFonts w:ascii="Times New Roman" w:hAnsi="Times New Roman"/>
          <w:color w:val="000000"/>
          <w:sz w:val="20"/>
        </w:rPr>
        <w:t xml:space="preserve"> - For agreements that include sales-based royalties, including commercial milestone payments based on the level of sales, and the license is deemed to be the predominant item to which the royalties relate, Lineage recognizes revenue at the later of (i) when the related sales occur, or (ii) when the performance obligation to which some or all of the royalty has been allocated has been satisfied (or partially satisfied).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Lineage estimates and recognizes royalty revenues based on all available information, including estimates provided by the customer or licensee from which Lineage obtains such estimates directly for each reporting period. Actual revenues ultimately received may differ from those estimates recorded and are adjusted in the period when information on actuals is available to Lineage.</w:t>
      </w:r>
    </w:p>
    <w:p>
      <w:pPr>
        <w:pStyle w:val="TextBody"/>
        <w:bidi w:val="0"/>
        <w:spacing w:before="240" w:after="283"/>
        <w:jc w:val="both"/>
        <w:rPr>
          <w:rFonts w:ascii="Times New Roman" w:hAnsi="Times New Roman"/>
          <w:sz w:val="20"/>
        </w:rPr>
      </w:pPr>
      <w:r>
        <w:rPr>
          <w:rFonts w:ascii="Times New Roman" w:hAnsi="Times New Roman"/>
          <w:i/>
          <w:color w:val="000000"/>
          <w:sz w:val="20"/>
        </w:rPr>
        <w:t>Collaborative agreements</w:t>
      </w:r>
      <w:r>
        <w:rPr>
          <w:rFonts w:ascii="Times New Roman" w:hAnsi="Times New Roman"/>
          <w:color w:val="000000"/>
          <w:sz w:val="20"/>
        </w:rPr>
        <w:t xml:space="preserve"> - In December 2021, Lineage entered into the Roche Agreement for the development and commercialization of OpRegen. Under the terms of the Roche Agreement, Roche agreed to pay Lineage a $50.0 million upfront payment and Lineage is eligible to receive up to an additional $620.0 million in developmental, regulatory and commercialization milestone payments. Lineage is also eligible to receive tiered double-digit percentage royalties on net sales of OpRegen. See Note 14 (Commitments and Contingencies) for additional information regarding this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April 2021, Lineage entered a worldwide license and collaboration agreement with Immunomic Therapeutics, Inc.("ITI") for the development and commercialization of an allogeneic version of an immunomic oncology target utilizing the VAC platform. Under the terms of this agreement, Lineage is entitled to upfront licensing fees totaling up to $2.0 million, $1.0 million of which was received in 2021, and up to $67.0 million in development and commercial milestones across multiple indications. Lineage also will be eligible to receive royalties up to 10% on net sales of future products. See Note 14 (Commitments and Contingencies) for additional information regarding this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deferred revenue on the consolidated balance sheet, related to the collaboration agreements with each of Roche and ITI, was $28.7 million and $0.8 million, respectively. For the twelve months ended December 31, 2023, we recognized $7.6 million of revenue on the consolidated statement of operations, related to the Roche Agreement. See Note 3 (Revenue) for additional information.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review collaborative agreements to determine if the accounting treatment falls under Accounting Standards Codification, </w:t>
      </w:r>
      <w:r>
        <w:rPr>
          <w:rFonts w:ascii="Times New Roman" w:hAnsi="Times New Roman"/>
          <w:i/>
          <w:color w:val="000000"/>
          <w:sz w:val="20"/>
        </w:rPr>
        <w:t xml:space="preserve">Topic 606, Revenue from Contracts with Customers </w:t>
      </w:r>
      <w:r>
        <w:rPr>
          <w:rFonts w:ascii="Times New Roman" w:hAnsi="Times New Roman"/>
          <w:color w:val="000000"/>
          <w:sz w:val="20"/>
        </w:rPr>
        <w:t>(“ASC 606”)</w:t>
      </w:r>
      <w:r>
        <w:rPr>
          <w:rFonts w:ascii="Times New Roman" w:hAnsi="Times New Roman"/>
          <w:i/>
          <w:color w:val="000000"/>
          <w:sz w:val="20"/>
        </w:rPr>
        <w:t xml:space="preserve">, </w:t>
      </w:r>
      <w:r>
        <w:rPr>
          <w:rFonts w:ascii="Times New Roman" w:hAnsi="Times New Roman"/>
          <w:color w:val="000000"/>
          <w:sz w:val="20"/>
        </w:rPr>
        <w:t xml:space="preserve">or Accounting Standards Codification </w:t>
      </w:r>
      <w:r>
        <w:rPr>
          <w:rFonts w:ascii="Times New Roman" w:hAnsi="Times New Roman"/>
          <w:i/>
          <w:color w:val="000000"/>
          <w:sz w:val="20"/>
        </w:rPr>
        <w:t xml:space="preserve">Topic 808, Collaborative Arrangements </w:t>
      </w:r>
      <w:r>
        <w:rPr>
          <w:rFonts w:ascii="Times New Roman" w:hAnsi="Times New Roman"/>
          <w:color w:val="000000"/>
          <w:sz w:val="20"/>
        </w:rPr>
        <w:t>(“ASC 808”). For agreements that may be within the scope of ASC 808, we may analogize to ASC 606 for some aspects of the agreements. If elements of the collaboration reflect a vendor-customer relationship, then those elements are within the scope ASC 606. The classification of transactions under our arrangements is determined based on the nature and contractual terms of the arrangement along with the nature of the operations of the participants.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terms of our collaborative agreements typically include one or more of the following: (i) upfront fees; (ii) milestone payments related to achievement of development or commercial milestones; (iii) royalties on net sales of licensed products; and (iv) reimbursement of cost-sharing of research and development (“R&amp;D”) expenses. Each of these payments eventually result in collaboration revenues. When a portion of non-refundable upfront fees or other payments received are allocated to continuing performance obligations under the terms of a collaborative agreement, they are recorded as deferred revenue and recognized as collaboration revenue when (or as) the underlying performance obligation is satisfied.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identify the performance obligations within the collaboration agreements, we first identify all the promises in the contract (i.e., explicit and implicit), which may include a customer option to acquire additional goods or services for free or at a discount. We exclude any immaterial promises from the assessment of identifying performance obligations. When an option is identified as providing a customer with a material right, the option is identified as a performance obligation. A portion of the transaction price is then allocated to the option and recognized when (or as) the future goods or services related to the option are provided, or when the option expires.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part of the accounting treatment for these agreements, we must develop estimates and assumptions that require judgment to determine the underlying stand-alone selling price for each performance obligation which determines how the transaction price is allocated among the performance obligations. The following items are estimated in the calculation of the stand-alone selling price: forecasted revenues and development costs, development timelines, discount rates and probabilities of technical and regulatory success. We evaluate each performance obligation to determine if they can be satisfied at a point in time or over time, and we measure the services delivered to our collaboration partners each reporting period, which is based on the progress of the related program. If necessary, we adjust the measure of performance and related revenue recognition. Any such adjustments are recorded on a cumulative catch-up basis which would affect revenue and net income (loss) in the period of adjustment. In addition,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variable considerations (e.g., milestone payments) must be evaluated to determine if it is constrained and, therefore, excluded from the transaction price.</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Upfront fees - </w:t>
      </w:r>
      <w:r>
        <w:rPr>
          <w:rFonts w:ascii="Times New Roman" w:hAnsi="Times New Roman"/>
          <w:color w:val="000000"/>
          <w:sz w:val="20"/>
        </w:rPr>
        <w:t>If a license to our intellectual property is determined to be distinct from the other performance obligations identified in the arrangement, we recognize collaboration revenues from the transaction price allocated to the license when the license is transferred to the licensee, and the licensee is able to use and benefit from the license. When the license is determined to be non-distinct, we utilize judgment to assess the nature of the combined performance obligation to determine whether the combined performance obligation is satisfied over time or at a point in time, and, if over time, the appropriate method of measuring progress for purposes of recognizing collaboration revenue from the allocated transaction price. For example, when we receive upfront fees for the performance of research and development services, or when research and development services are not considered to be distinct from a license, we recognize collaboration revenue for those units of account over time using a measure of progress. We evaluate the measure of progress at each reporting period and, if necessary, adjust the measure of performance and related revenue as a change in estimate.</w:t>
      </w:r>
    </w:p>
    <w:p>
      <w:pPr>
        <w:pStyle w:val="TextBody"/>
        <w:bidi w:val="0"/>
        <w:spacing w:before="240" w:after="283"/>
        <w:jc w:val="both"/>
        <w:rPr>
          <w:rFonts w:ascii="Times New Roman" w:hAnsi="Times New Roman"/>
          <w:sz w:val="20"/>
        </w:rPr>
      </w:pPr>
      <w:r>
        <w:rPr>
          <w:rFonts w:ascii="Times New Roman" w:hAnsi="Times New Roman"/>
          <w:i/>
          <w:color w:val="000000"/>
          <w:sz w:val="20"/>
        </w:rPr>
        <w:t>Milestone payments -</w:t>
      </w:r>
      <w:r>
        <w:rPr>
          <w:rFonts w:ascii="Times New Roman" w:hAnsi="Times New Roman"/>
          <w:color w:val="000000"/>
          <w:sz w:val="20"/>
        </w:rPr>
        <w:t xml:space="preserve"> At the inception of each collaboration agreement that includes milestone payments (variable consideration),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or the collaboration partner’s control, such as non-operational developmental and regulatory approvals, are generally not considered probable of being achieved until those approvals are received. At the end of each reporting period, we re-evaluate the probability of achievement of milestones that are within our or the collaboration partner’s control, such as operational developmental milestones and any related constraint, and if necessary, adjust our estimate of the overall transaction price. Any such adjustments are recorded on a cumulative catch-up basis, which would affect collaboration revenues and net income (loss) in the period of adjustment. Revisions to our estimate of the transaction price may also result in negative collaboration revenues and net income (loss) in the period of adjustment.</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Royalties - </w:t>
      </w:r>
      <w:r>
        <w:rPr>
          <w:rFonts w:ascii="Times New Roman" w:hAnsi="Times New Roman"/>
          <w:color w:val="000000"/>
          <w:sz w:val="20"/>
        </w:rPr>
        <w:t>For collaboration agreements that include sales-based royalties, including commercial milestone payments based on the level of sales, and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Reimbursement, cost-sharing payments - </w:t>
      </w:r>
      <w:r>
        <w:rPr>
          <w:rFonts w:ascii="Times New Roman" w:hAnsi="Times New Roman"/>
          <w:color w:val="000000"/>
          <w:sz w:val="20"/>
        </w:rPr>
        <w:t>Under certain collaborative agreements, we will receive reimbursement for a portion of our R&amp;D expenses. Such reimbursements are reviewed for gross versus net reporting considerations and reflected either as a reduction of R&amp;D expense or as reimbursement revenue in our consolidated statements of operations.</w:t>
      </w:r>
    </w:p>
    <w:p>
      <w:pPr>
        <w:pStyle w:val="TextBody"/>
        <w:bidi w:val="0"/>
        <w:spacing w:before="240" w:after="283"/>
        <w:jc w:val="both"/>
        <w:rPr>
          <w:rFonts w:ascii="Times New Roman" w:hAnsi="Times New Roman"/>
          <w:sz w:val="20"/>
        </w:rPr>
      </w:pPr>
      <w:r>
        <w:rPr>
          <w:rFonts w:ascii="Times New Roman" w:hAnsi="Times New Roman"/>
          <w:i/>
          <w:color w:val="000000"/>
          <w:sz w:val="20"/>
        </w:rPr>
        <w:t>Basic and diluted net income (loss) per share attributable to common shareholders</w:t>
      </w:r>
      <w:r>
        <w:rPr>
          <w:rFonts w:ascii="Times New Roman" w:hAnsi="Times New Roman"/>
          <w:color w:val="000000"/>
          <w:sz w:val="20"/>
        </w:rPr>
        <w:t xml:space="preserve"> - Basic earnings per share is calculated by dividing net income or loss attributable to Lineage common shareholders by the weighted average number of common shares outstanding, net of stock options and restricted stock units ("RSUs"), subject to repurchase by Lineage, if any, during the period. Diluted earnings per share is calculated by dividing the net income or loss attributable to Lineage common shareholders by the weighted average number of common shares outstanding, adjusted for the effects of potentially dilutive common shares issuable under outstanding stock options, restricted stock awards and warrants, using the treasury-stock method, convertible preferred stock, if any, using the if-converted method, and treasury stock held by subsidiaries, if 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years ended December 31, 2023 and 2022, respectively, Lineage reported a net loss attributable to common shareholders, and therefore, all potentially dilutive common shares were considered antidilutive for those periods.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common share equivalents were excluded from the computation of diluted net loss per common share for the periods presented because including them would have been antidilutive (in thousands):</w:t>
      </w:r>
    </w:p>
    <w:p>
      <w:pPr>
        <w:pStyle w:val="TextBody"/>
        <w:bidi w:val="0"/>
        <w:jc w:val="both"/>
        <w:rPr/>
      </w:pPr>
      <w:r>
        <w:rPr/>
        <w:t> </w:t>
      </w:r>
    </w:p>
    <w:tbl>
      <w:tblPr>
        <w:tblW w:w="4177" w:type="dxa"/>
        <w:jc w:val="left"/>
        <w:tblInd w:w="0" w:type="dxa"/>
        <w:tblLayout w:type="fixed"/>
        <w:tblCellMar>
          <w:top w:w="28" w:type="dxa"/>
          <w:left w:w="28" w:type="dxa"/>
          <w:bottom w:w="28" w:type="dxa"/>
          <w:right w:w="28" w:type="dxa"/>
        </w:tblCellMar>
      </w:tblPr>
      <w:tblGrid>
        <w:gridCol w:w="1876"/>
        <w:gridCol w:w="146"/>
        <w:gridCol w:w="148"/>
        <w:gridCol w:w="686"/>
        <w:gridCol w:w="148"/>
        <w:gridCol w:w="148"/>
        <w:gridCol w:w="148"/>
        <w:gridCol w:w="686"/>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21,663</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18,173</w:t>
            </w:r>
          </w:p>
        </w:tc>
        <w:tc>
          <w:tcPr>
            <w:tcW w:w="191" w:type="dxa"/>
            <w:tcBorders/>
            <w:shd w:fill="CFF0FC" w:val="clear"/>
            <w:vAlign w:val="center"/>
          </w:tcPr>
          <w:p>
            <w:pPr>
              <w:pStyle w:val="TableContents"/>
              <w:bidi w:val="0"/>
              <w:spacing w:before="0" w:after="283"/>
              <w:jc w:val="left"/>
              <w:rPr/>
            </w:pPr>
            <w:r>
              <w:rPr/>
              <w:t> </w:t>
            </w:r>
          </w:p>
        </w:tc>
      </w:tr>
      <w:tr>
        <w:trPr/>
        <w:tc>
          <w:tcPr>
            <w:tcW w:w="18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i/>
          <w:color w:val="000000"/>
          <w:sz w:val="20"/>
        </w:rPr>
        <w:t xml:space="preserve">Accounts receivable, net – </w:t>
      </w:r>
      <w:r>
        <w:rPr>
          <w:rFonts w:ascii="Times New Roman" w:hAnsi="Times New Roman"/>
          <w:color w:val="000000"/>
          <w:sz w:val="20"/>
        </w:rPr>
        <w:t>Net accounts receivables amounted to $0.7 million and $0.3 million as of December 31, 2023 and 2022, respectively. Net trade receivables include an allowance for doubtful accounts of approximately $0.1 million as of December 31, 2023 and 2022, for those amounts deemed uncollectible by Lineage. Lineage establishes an allowance for doubtful accounts based on the evaluation of the collectability of its receivables on a variety of factors, including the length of time receivables are past due, significant events that may impair the customer’s ability to pay, such as a bankruptcy filing or deterioration in the customers operating results or financial position, and historical experience. If circumstances related to customers change, estimates of the recoverability of receivables would be further adjusted. The net balance in accounts receivable is primarily comprised of royalty-based revenue, and therefore Lineage has applied the CECL considerations to this specific balance. Lineage has deemed the risk of customer default within its royalty-based revenues to be low, as the receivable amounts: i) are based on estimates and/or reports directly communicated by its royalty-related sublicensees, and ii) have not historically been impacted by macro-economic uncertainties (i.e., interest rates, inflation, GDP growth) as it relates to collectability. As such, a credit loss allowance per the provisions of CECL is not determined to be necessary.</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Leases - </w:t>
      </w:r>
      <w:r>
        <w:rPr>
          <w:rFonts w:ascii="Times New Roman" w:hAnsi="Times New Roman"/>
          <w:color w:val="000000"/>
          <w:sz w:val="20"/>
        </w:rPr>
        <w:t xml:space="preserve">We account for leases in accordance with ASC 842, </w:t>
      </w:r>
      <w:r>
        <w:rPr>
          <w:rFonts w:ascii="Times New Roman" w:hAnsi="Times New Roman"/>
          <w:i/>
          <w:color w:val="000000"/>
          <w:sz w:val="20"/>
        </w:rPr>
        <w:t>Leases</w:t>
      </w:r>
      <w:r>
        <w:rPr>
          <w:rFonts w:ascii="Times New Roman" w:hAnsi="Times New Roman"/>
          <w:color w:val="000000"/>
          <w:sz w:val="20"/>
        </w:rPr>
        <w:t>. We determine if an arrangement is a lease at inception. Leases are classified as either financing or operating, with classification affecting the pattern of expense recognition in the consolidated statements of operations. Under the available practical expedients for the adoption of ASC 842, we account for the lease and non-lease components as a single lease component. We recognize right-of-use (“ROU”) assets and lease liabilities for leases with terms greater than twelve months in the consolidated balance sheet. ROU assets represent our right to use an underlying asset during the lease term and lease liabilities represent our obligation to make lease payments arising from the lease. Operating and finance lease ROU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We use the implicit rate when readily determinable. The operating and finance lease ROU assets also includes any lease payments made and excludes lease incentives. Our lease terms used to determine operating and finance lease ROU assets and liabilities may include options to extend or terminate the lease when it is reasonably certain that we will exercise that option. Lease expense for operating lease payments is recognized on a straight-line basis over the lease term. Lease expense for finance lease payments is recognized as amortization of ROU assets and related interest. Operating and finance leases are included as assets in property and equipment; finance and lease liabilities are included in the current and long-term liabilities in the consolidated balance sheets.</w:t>
      </w:r>
    </w:p>
    <w:p>
      <w:pPr>
        <w:pStyle w:val="TextBody"/>
        <w:bidi w:val="0"/>
        <w:spacing w:before="240" w:after="283"/>
        <w:jc w:val="both"/>
        <w:rPr>
          <w:rFonts w:ascii="Times New Roman" w:hAnsi="Times New Roman"/>
          <w:sz w:val="20"/>
        </w:rPr>
      </w:pPr>
      <w:r>
        <w:rPr>
          <w:rFonts w:ascii="Times New Roman" w:hAnsi="Times New Roman"/>
          <w:i/>
          <w:color w:val="000000"/>
          <w:sz w:val="20"/>
        </w:rPr>
        <w:t>Goodwill and IPR&amp;D</w:t>
      </w:r>
      <w:r>
        <w:rPr>
          <w:rFonts w:ascii="Times New Roman" w:hAnsi="Times New Roman"/>
          <w:color w:val="000000"/>
          <w:sz w:val="20"/>
        </w:rPr>
        <w:t xml:space="preserve"> – Goodwill is calculated as the difference between the acquisition date fair value of the consideration transferred and the values assigned to the assets acquired and liabilities assumed. Goodwill is tested for impairment in accordance with ASU 2017-04, </w:t>
      </w:r>
      <w:r>
        <w:rPr>
          <w:rFonts w:ascii="Times New Roman" w:hAnsi="Times New Roman"/>
          <w:i/>
          <w:color w:val="000000"/>
          <w:sz w:val="20"/>
        </w:rPr>
        <w:t>Intangibles—Goodwill and Other (Topic 350): Simplifying the Test for Goodwill Impairment</w:t>
      </w:r>
      <w:r>
        <w:rPr>
          <w:rFonts w:ascii="Times New Roman" w:hAnsi="Times New Roman"/>
          <w:color w:val="000000"/>
          <w:sz w:val="20"/>
        </w:rPr>
        <w:t xml:space="preserve">. In-process research and development (“IPR&amp;D”) assets are indefinite-lived intangible assets until the completion or abandonment of the associated research and development (“R&amp;D”) efforts. Once the R&amp;D efforts are completed or abandoned, the IPR&amp;D will either be amortized over the asset’s estimated life as a finite-lived intangible asset or be impaired, respectively, in accordance with ASC 350, </w:t>
      </w:r>
      <w:r>
        <w:rPr>
          <w:rFonts w:ascii="Times New Roman" w:hAnsi="Times New Roman"/>
          <w:i/>
          <w:color w:val="000000"/>
          <w:sz w:val="20"/>
        </w:rPr>
        <w:t>Intangibles – Goodwill and Other</w:t>
      </w:r>
      <w:r>
        <w:rPr>
          <w:rFonts w:ascii="Times New Roman" w:hAnsi="Times New Roman"/>
          <w:color w:val="000000"/>
          <w:sz w:val="20"/>
        </w:rPr>
        <w:t>. In accordance with ASC 350, goodwill and acquired IPR&amp;D are determined to have indefinite lives and, therefore, are not amortized. Instead, they are tested for impairment at least annually and between annual tests if we become aware of an event or a change in circumstances that would indicate the asset may be impaired.</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Going concern assessment </w:t>
      </w:r>
      <w:r>
        <w:rPr>
          <w:rFonts w:ascii="Times New Roman" w:hAnsi="Times New Roman"/>
          <w:color w:val="000000"/>
          <w:sz w:val="20"/>
        </w:rPr>
        <w:t xml:space="preserve">– Lineage assesses going concern uncertainty for its consolidated financial statements to determine if Lineage has sufficient cash and cash equivalents on hand and working capital to operate for a period of at least one year from the date the consolidated financial statements are issued or are available to be issued, which is referred to as the “look-forward period” as defined by FASB’s ASU No. 2014-15. As part of this assessment, based on conditions that are known and reasonably knowable to Lineage, Lineage will consider various scenarios,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forecasts, projections, and estimates, and Lineage will make certain key assumptions, including the timing and nature of projected cash expenditures or programs, and its ability to delay or curtail those expenditures or programs, if necessary, among other factors. Based on this assessment, as necessary or applicable, Lineage makes certain assumptions concerning its ability to curtail or delay research and development programs and expenditures within the look-forward period in accordance with ASU No. 2014-15.</w:t>
      </w:r>
    </w:p>
    <w:p>
      <w:pPr>
        <w:pStyle w:val="TextBody"/>
        <w:bidi w:val="0"/>
        <w:spacing w:before="240" w:after="283"/>
        <w:jc w:val="both"/>
        <w:rPr>
          <w:rFonts w:ascii="Times New Roman" w:hAnsi="Times New Roman"/>
          <w:sz w:val="20"/>
        </w:rPr>
      </w:pPr>
      <w:r>
        <w:rPr>
          <w:rFonts w:ascii="Times New Roman" w:hAnsi="Times New Roman"/>
          <w:i/>
          <w:color w:val="000000"/>
          <w:sz w:val="20"/>
        </w:rPr>
        <w:t>Cash and cash equivalents</w:t>
      </w:r>
      <w:r>
        <w:rPr>
          <w:rFonts w:ascii="Times New Roman" w:hAnsi="Times New Roman"/>
          <w:color w:val="000000"/>
          <w:sz w:val="20"/>
        </w:rPr>
        <w:t xml:space="preserve"> – Lineage considers all highly liquid investments purchased with an original maturity of three months or less to be cash equivalents. As of December 31, 2023 and 2022, Lineage had $21.0 million and $4.1 million in money market funds, respectively, considered to be cash equivalents. Additionally, as of December 31 2023, Lineage had $8.9 million in marketable debt securities, classified as cash equivalents due to their original maturity of three months or less at the time of purchase.</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Restricted cash </w:t>
      </w:r>
      <w:r>
        <w:rPr>
          <w:rFonts w:ascii="Times New Roman" w:hAnsi="Times New Roman"/>
          <w:color w:val="000000"/>
          <w:sz w:val="20"/>
        </w:rPr>
        <w:t>– At December 31, 2023 and 2022, the Company had restricted cash of $0.1 million required to be set aside for its corporate credit card facility. Additionally, Cell Cure has restricted cash related to its office lease. See Note 14 (Commitments and contingencies).</w:t>
      </w:r>
    </w:p>
    <w:p>
      <w:pPr>
        <w:pStyle w:val="TextBody"/>
        <w:bidi w:val="0"/>
        <w:spacing w:before="240" w:after="283"/>
        <w:jc w:val="both"/>
        <w:rPr>
          <w:rFonts w:ascii="Times New Roman" w:hAnsi="Times New Roman"/>
          <w:sz w:val="20"/>
        </w:rPr>
      </w:pPr>
      <w:r>
        <w:rPr>
          <w:rFonts w:ascii="Times New Roman" w:hAnsi="Times New Roman"/>
          <w:i/>
          <w:color w:val="000000"/>
          <w:sz w:val="20"/>
        </w:rPr>
        <w:t>Concentrations of credit risk and significant sources of supply</w:t>
      </w:r>
      <w:r>
        <w:rPr>
          <w:rFonts w:ascii="Times New Roman" w:hAnsi="Times New Roman"/>
          <w:color w:val="000000"/>
          <w:sz w:val="20"/>
        </w:rPr>
        <w:t xml:space="preserve"> – Financial instruments that potentially subject Lineage to significant concentrations of credit risk consist primarily of cash, cash equivalents and marketable debt securities. Lineage limits the amount of credit exposure of cash balances by maintaining its accounts in high credit quality financial institutions. Cash equivalent deposits with financial institutions may occasionally exceed the limits of insurance on bank deposits; however, Lineage has not experienced any losses on such accounts. Lineage mitigates its credit exposure on marketable debt securities by investing in short term U.S. Treasuries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Lineage relies on single-source, third-party suppliers for a few key components of our product candidates. If these single-source, third-party suppliers are unable to continue providing a key component, the initiation or progress of any clinical studies of its product candidates may be impeded.</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Property and equipment, net </w:t>
      </w:r>
      <w:r>
        <w:rPr>
          <w:rFonts w:ascii="Times New Roman" w:hAnsi="Times New Roman"/>
          <w:color w:val="000000"/>
          <w:sz w:val="20"/>
        </w:rPr>
        <w:t>– Property and equipment is stated at cost, net of accumulated depreciation and amortization. The cost of property and equipment is depreciated or amortized using the straight-line method over the estimated useful life of the asset, ranging from 3 to 10 years. Leasehold improvements are amortized over the shorter of the useful life or the lease term. See Note 6 (Property and Equipment, Net) for additional information.</w:t>
      </w:r>
    </w:p>
    <w:p>
      <w:pPr>
        <w:pStyle w:val="TextBody"/>
        <w:bidi w:val="0"/>
        <w:spacing w:before="240" w:after="283"/>
        <w:jc w:val="both"/>
        <w:rPr>
          <w:rFonts w:ascii="Times New Roman" w:hAnsi="Times New Roman"/>
          <w:sz w:val="20"/>
        </w:rPr>
      </w:pPr>
      <w:r>
        <w:rPr>
          <w:rFonts w:ascii="Times New Roman" w:hAnsi="Times New Roman"/>
          <w:i/>
          <w:color w:val="000000"/>
          <w:sz w:val="20"/>
        </w:rPr>
        <w:t>Long-lived intangible assets</w:t>
      </w:r>
      <w:r>
        <w:rPr>
          <w:rFonts w:ascii="Times New Roman" w:hAnsi="Times New Roman"/>
          <w:color w:val="000000"/>
          <w:sz w:val="20"/>
        </w:rPr>
        <w:t xml:space="preserve"> – Long-lived intangible assets, consisting primarily of acquired patents, patent applications, and licenses to use certain patents are stated at acquired cost, less accumulated amortization. Amortization expense is computed using the straight-line method over the estimated useful lives of the assets, generally over 5 to 10 years.</w:t>
      </w:r>
    </w:p>
    <w:p>
      <w:pPr>
        <w:pStyle w:val="TextBody"/>
        <w:bidi w:val="0"/>
        <w:spacing w:before="240" w:after="283"/>
        <w:jc w:val="both"/>
        <w:rPr>
          <w:rFonts w:ascii="Times New Roman" w:hAnsi="Times New Roman"/>
          <w:sz w:val="20"/>
        </w:rPr>
      </w:pPr>
      <w:r>
        <w:rPr>
          <w:rFonts w:ascii="Times New Roman" w:hAnsi="Times New Roman"/>
          <w:i/>
          <w:color w:val="000000"/>
          <w:sz w:val="20"/>
        </w:rPr>
        <w:t>Impairment of long-lived assets</w:t>
      </w:r>
      <w:r>
        <w:rPr>
          <w:rFonts w:ascii="Times New Roman" w:hAnsi="Times New Roman"/>
          <w:color w:val="000000"/>
          <w:sz w:val="20"/>
        </w:rPr>
        <w:t xml:space="preserve"> – Long-lived assets, including property and equipment and long-lived intangible assets, are reviewed annually for impairment and whenever events or changes in circumstances indicate that the carrying amount of an asset may not be fully recoverable. If an impairment indicator is present, Lineage evaluates recoverability by a comparison of the carrying amount of the assets to future undiscounted net cash flows expected to be generated by the assets. If the assets are impaired, the impairment recognized is measured by the amount by which the carrying amount exceeds the estimated fair value of the assets. The Company did not recognize any impairment losses for the years ended December 31, 2023 and 2022. </w:t>
      </w:r>
    </w:p>
    <w:p>
      <w:pPr>
        <w:pStyle w:val="TextBody"/>
        <w:bidi w:val="0"/>
        <w:spacing w:before="240" w:after="283"/>
        <w:jc w:val="both"/>
        <w:rPr>
          <w:rFonts w:ascii="Times New Roman" w:hAnsi="Times New Roman"/>
          <w:sz w:val="20"/>
        </w:rPr>
      </w:pPr>
      <w:r>
        <w:rPr>
          <w:rFonts w:ascii="Times New Roman" w:hAnsi="Times New Roman"/>
          <w:i/>
          <w:color w:val="000000"/>
          <w:sz w:val="20"/>
        </w:rPr>
        <w:t>Transactions with noncontrolling interests of subsidiaries</w:t>
      </w:r>
      <w:r>
        <w:rPr>
          <w:rFonts w:ascii="Times New Roman" w:hAnsi="Times New Roman"/>
          <w:color w:val="000000"/>
          <w:sz w:val="20"/>
        </w:rPr>
        <w:t xml:space="preserve"> - Lineage accounts for a change in ownership interests in its subsidiaries that does not result in a change of control of the subsidiary by Lineage under the provisions of ASC 810-10-45-23, </w:t>
      </w:r>
      <w:r>
        <w:rPr>
          <w:rFonts w:ascii="Times New Roman" w:hAnsi="Times New Roman"/>
          <w:i/>
          <w:color w:val="000000"/>
          <w:sz w:val="20"/>
        </w:rPr>
        <w:t>Consolidation</w:t>
      </w:r>
      <w:r>
        <w:rPr>
          <w:rFonts w:ascii="Times New Roman" w:hAnsi="Times New Roman"/>
          <w:color w:val="000000"/>
          <w:sz w:val="20"/>
        </w:rPr>
        <w:t xml:space="preserve"> – </w:t>
      </w:r>
      <w:r>
        <w:rPr>
          <w:rFonts w:ascii="Times New Roman" w:hAnsi="Times New Roman"/>
          <w:i/>
          <w:color w:val="000000"/>
          <w:sz w:val="20"/>
        </w:rPr>
        <w:t xml:space="preserve">Other Presentation Matters, </w:t>
      </w:r>
      <w:r>
        <w:rPr>
          <w:rFonts w:ascii="Times New Roman" w:hAnsi="Times New Roman"/>
          <w:color w:val="000000"/>
          <w:sz w:val="20"/>
        </w:rPr>
        <w:t>which prescribes the accounting for changes in ownership interest that do not result in a change in control of the subsidiary, as defined by GAAP, before and after the transaction. Under this guidance, changes in a controlling shareholder’s ownership interest that do not result in a change of control, as defined by GAAP, in the subsidiary are accounted for as equity transactions. Thus, if the controlling shareholder retains control, no gain or loss is recognized in the statements of operations of the controlling shareholder. Similarly, the controlling shareholder will not record any additional acquisition adjustments to reflect its subsequent purchases of additional shares in the subsidiary if there is no change of control. Only a proportional and immediate transfer of carrying value between the controlling and the noncontrolling shareholders occurs based on the respective ownership percentages.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 Research and development expenses consist of costs incurred for company-sponsored, collaborative and contracted research and development activities. These costs include direct expenses and indirect research-related overhead expenses including compensation and related benefits, stock-based compensation, consulting fees, research and laboratory fees, rent of research facilities, amortization of intangible assets, and license fees paid to third parties to acquire patents or licenses to use patents and other technology. Research and development expenses which have an alternative future use will be capitalized as intangible assets, and research and development costs with no future benefit or alternative use will be expensed as incurred. Research and development expenses incurred and reimbursed by grants from third parties approximate the grant income recognized in the consolidated statements of operations. Royalties and sublicensing fees are recorded as research and development expenses, unless these costs are associated with royalties from product sales, which we classify as cost of sales on our consolidated statements of operations. We expect our total research and development expenses to fluctuate each reporting period based on several factors including (i) the stage of development for each cell therapy program, (ii) the availability of resources to work on each program, and (iii) the timing of contractual obligations.</w:t>
      </w:r>
    </w:p>
    <w:p>
      <w:pPr>
        <w:pStyle w:val="TextBody"/>
        <w:bidi w:val="0"/>
        <w:spacing w:before="240" w:after="283"/>
        <w:jc w:val="both"/>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 General and administrative expenses consist of employee and director compensation and related benefits, including stock-based compensation, for executive and corporate personnel, professional and consulting fees, and allocated overhead such as facilities rent and equipment rent and maintenance, insurance costs allocated to general and administrative expenses, costs of patent applications, prosecution and maintenance, stock exchange related costs, depreciation expense, marketing costs, legal and accounting costs, and other miscellaneous expenses.</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Foreign currency translation adjustments and other comprehensive income or loss </w:t>
      </w:r>
      <w:r>
        <w:rPr>
          <w:rFonts w:ascii="Times New Roman" w:hAnsi="Times New Roman"/>
          <w:color w:val="000000"/>
          <w:sz w:val="20"/>
        </w:rPr>
        <w:t xml:space="preserve">- In countries in which Lineage operates where the functional currency is other than the U.S. dollar, assets and liabilities are translated using published exchange rates in effect at the consolidated balance sheet date. Revenues and expenses and cash flows are translated using an approximate weighted average exchange rate for the period. Resulting foreign currency translation adjustments are recorded as other comprehensive income or loss, net of tax, in the consolidated statements of comprehensive income or loss and included as a component of accumulated other comprehensive income or loss on the consolidated balance sheets. Foreign currency translation adjustments are primarily attributable to Cell Cure and ESI, Lineage’s consolidated foreign subsidiaries. For the years ended December 31, 2023 and 2022, the total comprehensive loss includes gains from foreign currency translation adjustments, of $0.4 million and $1.8 million, respectively, net of an insignificant amount of tax. As of December 31, 2023 and 2022, we had cumulative translation adjustments of $2.7 million and $3.1 million, respectively, net of an insignificant amount of tax. </w:t>
      </w:r>
    </w:p>
    <w:p>
      <w:pPr>
        <w:pStyle w:val="TextBody"/>
        <w:bidi w:val="0"/>
        <w:spacing w:before="240" w:after="283"/>
        <w:jc w:val="both"/>
        <w:rPr>
          <w:rFonts w:ascii="Times New Roman" w:hAnsi="Times New Roman"/>
          <w:sz w:val="20"/>
        </w:rPr>
      </w:pPr>
      <w:r>
        <w:rPr>
          <w:rFonts w:ascii="Times New Roman" w:hAnsi="Times New Roman"/>
          <w:i/>
          <w:color w:val="000000"/>
          <w:sz w:val="20"/>
        </w:rPr>
        <w:t>Foreign currency transaction gains and losses</w:t>
      </w:r>
      <w:r>
        <w:rPr>
          <w:rFonts w:ascii="Times New Roman" w:hAnsi="Times New Roman"/>
          <w:color w:val="000000"/>
          <w:sz w:val="20"/>
        </w:rPr>
        <w:t xml:space="preserve"> - For transactions denominated in other than the functional currency of Lineage or its subsidiaries, Lineage recognizes transaction gains and losses in the consolidated statements of operations and classifies the gain or loss based on the nature of the item that generated it. The majority of Lineage’s foreign currency transaction gains and losses are generated by Cell Cure’s intercompany debt owed to Lineage, which is U.S. dollar-denominated, while Cell Cure’s functional currency is the Israeli New Shekel (“ILS”). At each balance sheet date, Lineage remeasures the intercompany debt using the current exchange rate at that date pursuant to ASC 830, </w:t>
      </w:r>
      <w:r>
        <w:rPr>
          <w:rFonts w:ascii="Times New Roman" w:hAnsi="Times New Roman"/>
          <w:i/>
          <w:color w:val="000000"/>
          <w:sz w:val="20"/>
        </w:rPr>
        <w:t xml:space="preserve">Foreign Currency Matters. </w:t>
      </w:r>
      <w:r>
        <w:rPr>
          <w:rFonts w:ascii="Times New Roman" w:hAnsi="Times New Roman"/>
          <w:color w:val="000000"/>
          <w:sz w:val="20"/>
        </w:rPr>
        <w:t xml:space="preserve">These foreign currency remeasurement gains and losses are included in other expenses, net. For the years ended December 31, 2023 and 2022, other expenses, net includes foreign currency transaction losses of $0.5 million and $2.0 million, respectively. </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Income taxes </w:t>
      </w:r>
      <w:r>
        <w:rPr>
          <w:rFonts w:ascii="Times New Roman" w:hAnsi="Times New Roman"/>
          <w:color w:val="000000"/>
          <w:sz w:val="20"/>
        </w:rPr>
        <w:t xml:space="preserve">- Lineage accounts for income taxes in accordance with ASC 740, </w:t>
      </w:r>
      <w:r>
        <w:rPr>
          <w:rFonts w:ascii="Times New Roman" w:hAnsi="Times New Roman"/>
          <w:i/>
          <w:color w:val="000000"/>
          <w:sz w:val="20"/>
        </w:rPr>
        <w:t>Income Taxes</w:t>
      </w:r>
      <w:r>
        <w:rPr>
          <w:rFonts w:ascii="Times New Roman" w:hAnsi="Times New Roman"/>
          <w:color w:val="000000"/>
          <w:sz w:val="20"/>
        </w:rPr>
        <w:t xml:space="preserve">, which prescribe the use of the asset and liability method, whereby deferred tax asset or liability account balances are calculated at the balance sheet date using current tax laws and rates in effect. Valuation allowances are established when necessary to reduce deferred tax assets when it is more likely than not that a portion or all of the deferred tax assets will not be realized. ASC 740 guidance also prescribes a recognition threshold and a measurement attribute for the financial statement recognition and measurement of tax positions taken or expected to be taken in a tax return. For benefits to be recognized, a tax position must be more-likely-than-not sustainable upon examination by taxing authorities. Lineage files a U.S. federal income tax return as well as California combined and foreign income tax returns. Lineage’s judgments regarding future taxable income may change over time due to changes in market conditions, changes in tax laws, tax planning strategies or other factors. If Lineage assumptions, and consequently the estimates, change in the future with respect to Lineage’s own deferred tax assets and liabilities, the valuation allowance may be increased or decreased, which may have a material impact on Lineage’s consolidated financial statements. Lineage recognizes accrued interest and penalties related to unrecognized tax benefits, if any, as income tax expense; however, no amounts were accrued for the payment of interest and penalties as of December 31, 2023 and 2022. We provided a 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against our federal and California research and development credits generated. The carryforward amounts for these credits have been reported net of these reserves. Accordingly, no accrued interest and penalties related to unrecognized tax benefits have been recorded as of December 31, 2023 and 2022.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December 22, 2017, the United States enacted major federal tax reform legislation, Public Law No. 115-97, commonly referred to as the 2017 Tax Cuts and Jobs Act (“2017 Tax Act”), which enacted a broad range of changes to the Internal Revenue Code. Beginning in 2018, the 2017 Tax Act subjects a U.S. stockholder to tax on Global Intangible Low Tax Income (“GILTI”) earned by certain foreign subsidiaries. In general, GILTI is the excess of a U.S. shareholder’s total net foreign income over a deemed return on tangible assets. The provision further allows a deduction of 50% of GILTI, however this deduction is limited to the Company’s pre-GILTI U.S. income. See Note 13 (Income Taxes)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Current interpretations under ASC 740 state that an entity can make an accounting policy election to either recognize deferred taxes for temporary basis differences expected to reverse as GILTI in future years or to provide for the tax expense related to GILTI in the year the tax is incurred as a period expense. We have elected to account for GILTI as a current period expense when incurred.</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Stock-based compensation - </w:t>
      </w:r>
      <w:r>
        <w:rPr>
          <w:rFonts w:ascii="Times New Roman" w:hAnsi="Times New Roman"/>
          <w:color w:val="000000"/>
          <w:sz w:val="20"/>
        </w:rPr>
        <w:t xml:space="preserve">Lineage follows accounting standards governing share-based payments in accordance with ASC 718, </w:t>
      </w:r>
      <w:r>
        <w:rPr>
          <w:rFonts w:ascii="Times New Roman" w:hAnsi="Times New Roman"/>
          <w:i/>
          <w:color w:val="000000"/>
          <w:sz w:val="20"/>
        </w:rPr>
        <w:t>Compensation – Stock Compensation</w:t>
      </w:r>
      <w:r>
        <w:rPr>
          <w:rFonts w:ascii="Times New Roman" w:hAnsi="Times New Roman"/>
          <w:color w:val="000000"/>
          <w:sz w:val="20"/>
        </w:rPr>
        <w:t>, which require the measurement and recognition of compensation expense for all share-based payment awards made to directors and employees based on estimated fair values.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recognizes share-based compensation for equity awards granted to employees, officers and directors as an expense on the consolidated statements of operations. Share-based compensation is recognized over the requisite service period of the individual awards using the straight-line attribution method, which generally equals the vesting period. Employees and officers’ stock options primarily have a ten-year life and generally vest 25% on the first anniversary of the grant and in 1/36th equal installments on each monthly anniversary thereafter, such that options are fully vested on the four-year anniversary of the date of grant. The exercisability and vesting periods of options granted to directors vary. Restricted stock units subject to time-based vesting generally vest in four equal annual installments beginning on the first anniversary of the grant date. Restricted stock units subject to performance-based vesting will vest in connection with the achievement of certain development milestones (see Note 12 (Stock-Based Awards) for additional details).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employee and director stock options, we utilize the Black-Scholes option pricing model for valuing share-based payment awards. Lineage’s determination of fair value of share-based payment awards on the date of grant using that option-pricing model is affected by the price of Lineage’s common shares as well as by assumptions regarding a number of complex and subjective variables. These variables include, but are not limited to: (i) the expected stock price volatility over the term of the awards, based upon our historical volatility; (ii) the expected term of options granted, which is derived using the simplified method, which is an average of the contractual term of the option and its vesting period, as we do not have sufficient historical exercise data upon which to estimate the expected term; and (iii) the risk-free rate, which is based on the U.S. Treasury yield in effect at the time of grant for U.S. Treasury notes with maturities similar to the expected term of the awards. Stock option forfeitures are accounted for as they occur.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RSUs subject to service and/or performance vesting conditions, the grant-date fair value is established based on the closing price of Lineage’s common shares on such date. Stock-based compensation expense for RSUs subject to only service conditions is recognized on a straight-line basis over the service period. Stock-based compensation expense for RSUs with both service and performance conditions is recognized on a graded basis only if it is probable that the performance condition will be achieved. Lineage accounts for forfeitures of RSUs as they occur in determining stock-based compensation expense. For RSUs subject to a market condition, the grant-date fair value is estimated using a Monte Carlo valuation model. The model is based on random projections of stock price paths and must be repeated numerous times to achieve a probabilistic assessment. Lineage recognizes stock-based compensation expense for RSUs subject to market-based vesting conditions regardless of whether it becomes probable that the vesting conditions will be achieved, and stock-based compensation expense for such RSUs is not reversed if vesting does not actually occur.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the fair value of employee stock options and RSUs are determined in accordance with FASB guidance, changes in the assumptions can materially affect the estimated value and therefore the amount of compensation expense recognized in the consolidated financial statements.</w:t>
      </w:r>
    </w:p>
    <w:p>
      <w:pPr>
        <w:pStyle w:val="TextBody"/>
        <w:bidi w:val="0"/>
        <w:spacing w:before="360" w:after="283"/>
        <w:jc w:val="both"/>
        <w:rPr>
          <w:rFonts w:ascii="Times New Roman" w:hAnsi="Times New Roman"/>
          <w:sz w:val="20"/>
        </w:rPr>
      </w:pPr>
      <w:r>
        <w:rPr>
          <w:rFonts w:ascii="Times New Roman" w:hAnsi="Times New Roman"/>
          <w:i/>
          <w:color w:val="000000"/>
          <w:sz w:val="20"/>
        </w:rPr>
        <w:t xml:space="preserve">Recently Adopted Accounting Pronouncements </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June 2016, the FASB issued ASU 2016-13, </w:t>
      </w:r>
      <w:r>
        <w:rPr>
          <w:rFonts w:ascii="Times New Roman" w:hAnsi="Times New Roman"/>
          <w:i/>
          <w:color w:val="000000"/>
          <w:sz w:val="20"/>
        </w:rPr>
        <w:t>Financial Instruments – Credit Losses (Topic 326): Measurement of Credit Losses on Financial Instruments</w:t>
      </w:r>
      <w:r>
        <w:rPr>
          <w:rFonts w:ascii="Times New Roman" w:hAnsi="Times New Roman"/>
          <w:color w:val="000000"/>
          <w:sz w:val="20"/>
        </w:rPr>
        <w:t>. ASU 2016-13 is intended to provide financial statement users with more decision-useful information about the expected credit losses on financial instruments and other commitments and requires consideration of a broader range of reasonable and supportable information to inform credit loss estimates. ASU 2016-13 is effective for Lineage beginning January 1, 2023 and its adoption did not have a significant effect on the Company’s consolidated financial statements.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Recently Issued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new accounting pronouncements are issued by the FASB or other standard setting bodies that are adopted by the Company as of the specified effective date. The Company has evaluated recently issued accounting pronouncements and does not believe any will have a material impact on the Company’s consolidated financial statements or related financial statement disclosures.</w:t>
      </w:r>
    </w:p>
    <w:p>
      <w:pPr>
        <w:pStyle w:val="TextBody"/>
        <w:bidi w:val="0"/>
        <w:spacing w:before="360" w:after="283"/>
        <w:jc w:val="both"/>
        <w:rPr>
          <w:rFonts w:ascii="Times New Roman" w:hAnsi="Times New Roman"/>
          <w:sz w:val="20"/>
        </w:rPr>
      </w:pPr>
      <w:r>
        <w:rPr>
          <w:rFonts w:ascii="Times New Roman" w:hAnsi="Times New Roman"/>
          <w:b/>
          <w:color w:val="000000"/>
          <w:sz w:val="20"/>
        </w:rPr>
        <w:t>3. 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disaggregated revenues were as follows (in thousands):</w:t>
      </w:r>
    </w:p>
    <w:p>
      <w:pPr>
        <w:pStyle w:val="TextBody"/>
        <w:bidi w:val="0"/>
        <w:jc w:val="left"/>
        <w:rPr/>
      </w:pPr>
      <w:r>
        <w:rPr/>
        <w:t> </w:t>
      </w:r>
    </w:p>
    <w:tbl>
      <w:tblPr>
        <w:tblW w:w="6492" w:type="dxa"/>
        <w:jc w:val="left"/>
        <w:tblInd w:w="0" w:type="dxa"/>
        <w:tblLayout w:type="fixed"/>
        <w:tblCellMar>
          <w:top w:w="28" w:type="dxa"/>
          <w:left w:w="28" w:type="dxa"/>
          <w:bottom w:w="28" w:type="dxa"/>
          <w:right w:w="28" w:type="dxa"/>
        </w:tblCellMar>
      </w:tblPr>
      <w:tblGrid>
        <w:gridCol w:w="3916"/>
        <w:gridCol w:w="146"/>
        <w:gridCol w:w="214"/>
        <w:gridCol w:w="581"/>
        <w:gridCol w:w="148"/>
        <w:gridCol w:w="148"/>
        <w:gridCol w:w="214"/>
        <w:gridCol w:w="688"/>
        <w:gridCol w:w="146"/>
        <w:gridCol w:w="2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under collaborative agreements</w:t>
            </w:r>
          </w:p>
        </w:tc>
        <w:tc>
          <w:tcPr>
            <w:tcW w:w="146" w:type="dxa"/>
            <w:tcBorders/>
            <w:shd w:fill="CFF0FC" w:val="clear"/>
            <w:vAlign w:val="center"/>
          </w:tcPr>
          <w:p>
            <w:pPr>
              <w:pStyle w:val="TableContents"/>
              <w:bidi w:val="0"/>
              <w:spacing w:before="0" w:after="283"/>
              <w:jc w:val="left"/>
              <w:rPr/>
            </w:pPr>
            <w:r>
              <w:rPr/>
              <w:t> </w:t>
            </w:r>
          </w:p>
        </w:tc>
        <w:tc>
          <w:tcPr>
            <w:tcW w:w="795" w:type="dxa"/>
            <w:gridSpan w:val="2"/>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91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Upfront license fees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7,588</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 under collaborative agreements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7,588</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13,367</w:t>
            </w:r>
          </w:p>
        </w:tc>
        <w:tc>
          <w:tcPr>
            <w:tcW w:w="146" w:type="dxa"/>
            <w:tcBorders/>
            <w:shd w:fill="CFF0FC"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gridSpan w:val="2"/>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Royalties, license and other revenues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gridSpan w:val="2"/>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8,945</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sz w:val="22"/>
        </w:rPr>
      </w:pPr>
      <w:r>
        <w:rPr>
          <w:rFonts w:ascii="Times New Roman" w:hAnsi="Times New Roman"/>
          <w:color w:val="000000"/>
          <w:sz w:val="20"/>
        </w:rPr>
        <w:t>All of the upfront license fee revenue recognized each period was included within deferred revenue as contract liabilities at the beginning of the period. This revenue originated from the $50.0</w:t>
      </w:r>
      <w:r>
        <w:rPr>
          <w:rFonts w:ascii="Times New Roman" w:hAnsi="Times New Roman"/>
          <w:color w:val="000000"/>
          <w:sz w:val="22"/>
        </w:rPr>
        <w:t xml:space="preserve"> </w:t>
      </w:r>
      <w:r>
        <w:rPr>
          <w:rFonts w:ascii="Times New Roman" w:hAnsi="Times New Roman"/>
          <w:color w:val="000000"/>
          <w:sz w:val="20"/>
        </w:rPr>
        <w:t xml:space="preserve">million upfront payment under the Roche Agreement.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both"/>
        <w:rPr>
          <w:rFonts w:ascii="Times New Roman" w:hAnsi="Times New Roman"/>
          <w:sz w:val="22"/>
        </w:rPr>
      </w:pPr>
      <w:r>
        <w:rPr>
          <w:rFonts w:ascii="Times New Roman" w:hAnsi="Times New Roman"/>
          <w:color w:val="000000"/>
          <w:sz w:val="20"/>
        </w:rPr>
        <w:t>Of the royalties, license and other revenues recognized each period, $87,000</w:t>
      </w:r>
      <w:r>
        <w:rPr>
          <w:rFonts w:ascii="Times New Roman" w:hAnsi="Times New Roman"/>
          <w:color w:val="000000"/>
          <w:sz w:val="22"/>
        </w:rPr>
        <w:t xml:space="preserve"> </w:t>
      </w:r>
      <w:r>
        <w:rPr>
          <w:rFonts w:ascii="Times New Roman" w:hAnsi="Times New Roman"/>
          <w:color w:val="000000"/>
          <w:sz w:val="20"/>
        </w:rPr>
        <w:t>and $0</w:t>
      </w:r>
      <w:r>
        <w:rPr>
          <w:rFonts w:ascii="Times New Roman" w:hAnsi="Times New Roman"/>
          <w:color w:val="000000"/>
          <w:sz w:val="22"/>
        </w:rPr>
        <w:t xml:space="preserve"> </w:t>
      </w:r>
      <w:r>
        <w:rPr>
          <w:rFonts w:ascii="Times New Roman" w:hAnsi="Times New Roman"/>
          <w:color w:val="000000"/>
          <w:sz w:val="20"/>
        </w:rPr>
        <w:t xml:space="preserve">was included within deferred revenues as contract liabilities as of January 1, 2023 and 2022,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recognizing the $50.0 million upfront payment under the Roche Agreement utilizing an input method of costs incurred over total estimated costs to be incurred. At each reporting period, we update our total estimated collaboration costs, and any resulting adjustments are recorded on a cumulative basis which would affect revenue and net income (loss) in the period of adjustment. We believe the input methodology represents the most appropriate measure of progress towards satisfaction of the identified performance obligations.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contracts with customers including collaboration partners which are within the scope of ASU 2014-09 – Revenue from Contracts with Customers (Topic 606), the aggregate amount of the transaction price allocated to remaining performance obligations as of December 31, 2023 was $31.1 million, of which $29.5 million has been collected and is reported as deferred revenues. The $31.1 million is expected to be converted to revenue by December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Accounts receivable, net, and deferred revenues (contract liabilities) from contracts with customers, including collaboration partners, consisted of the following (in thousands):</w:t>
      </w:r>
    </w:p>
    <w:p>
      <w:pPr>
        <w:pStyle w:val="TextBody"/>
        <w:bidi w:val="0"/>
        <w:jc w:val="both"/>
        <w:rPr/>
      </w:pPr>
      <w:r>
        <w:rPr/>
        <w:t> </w:t>
      </w:r>
    </w:p>
    <w:tbl>
      <w:tblPr>
        <w:tblW w:w="8125" w:type="dxa"/>
        <w:jc w:val="left"/>
        <w:tblInd w:w="0" w:type="dxa"/>
        <w:tblLayout w:type="fixed"/>
        <w:tblCellMar>
          <w:top w:w="28" w:type="dxa"/>
          <w:left w:w="28" w:type="dxa"/>
          <w:bottom w:w="28" w:type="dxa"/>
          <w:right w:w="28" w:type="dxa"/>
        </w:tblCellMar>
      </w:tblPr>
      <w:tblGrid>
        <w:gridCol w:w="4396"/>
        <w:gridCol w:w="146"/>
        <w:gridCol w:w="357"/>
        <w:gridCol w:w="1143"/>
        <w:gridCol w:w="146"/>
        <w:gridCol w:w="146"/>
        <w:gridCol w:w="357"/>
        <w:gridCol w:w="1143"/>
        <w:gridCol w:w="291"/>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3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Accounts receivable, net - beginning of the period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50,640</w:t>
            </w:r>
          </w:p>
        </w:tc>
        <w:tc>
          <w:tcPr>
            <w:tcW w:w="291" w:type="dxa"/>
            <w:tcBorders/>
            <w:shd w:fill="CFF0FC" w:val="clear"/>
            <w:vAlign w:val="center"/>
          </w:tcPr>
          <w:p>
            <w:pPr>
              <w:pStyle w:val="TableContents"/>
              <w:bidi w:val="0"/>
              <w:spacing w:before="0" w:after="283"/>
              <w:jc w:val="left"/>
              <w:rPr/>
            </w:pPr>
            <w:r>
              <w:rPr/>
              <w:t> </w:t>
            </w:r>
          </w:p>
        </w:tc>
      </w:tr>
      <w:tr>
        <w:trPr/>
        <w:tc>
          <w:tcPr>
            <w:tcW w:w="439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Accounts receivable, net - end of the period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291" w:type="dxa"/>
            <w:tcBorders/>
            <w:shd w:fill="FFFFFF" w:val="clear"/>
            <w:vAlign w:val="center"/>
          </w:tcPr>
          <w:p>
            <w:pPr>
              <w:pStyle w:val="TableContents"/>
              <w:bidi w:val="0"/>
              <w:spacing w:before="0" w:after="283"/>
              <w:ind w:left="0" w:right="0" w:firstLine="40"/>
              <w:jc w:val="left"/>
              <w:rPr/>
            </w:pPr>
            <w:r>
              <w:rPr/>
              <w:t> </w:t>
            </w:r>
          </w:p>
        </w:tc>
      </w:tr>
      <w:tr>
        <w:trPr/>
        <w:tc>
          <w:tcPr>
            <w:tcW w:w="4396" w:type="dxa"/>
            <w:tcBorders/>
            <w:shd w:fill="FFFFFF" w:val="clear"/>
            <w:vAlign w:val="center"/>
          </w:tcPr>
          <w:p>
            <w:pPr>
              <w:pStyle w:val="TableContents"/>
              <w:bidi w:val="0"/>
              <w:spacing w:before="0" w:after="283"/>
              <w:ind w:left="40" w:right="0" w:firstLine="4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439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Contract liabilities </w:t>
            </w:r>
            <w:r>
              <w:rPr>
                <w:rFonts w:ascii="Times New Roman" w:hAnsi="Times New Roman"/>
                <w:color w:val="000000"/>
                <w:sz w:val="13"/>
              </w:rPr>
              <w:t>(1)(2)</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3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Deferred revenues - beginning of the period</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50,500</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39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Deferred revenues - end of the period</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37,146</w:t>
            </w:r>
          </w:p>
        </w:tc>
        <w:tc>
          <w:tcPr>
            <w:tcW w:w="291"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Excludes amounts outside the scope of ASU 2014-09 - Revenue from Contracts with Customers (Topic 606).</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both"/>
        <w:rPr>
          <w:rFonts w:ascii="Calibri;sans-serif" w:hAnsi="Calibri;sans-serif"/>
          <w:sz w:val="22"/>
        </w:rPr>
      </w:pPr>
      <w:r>
        <w:rPr>
          <w:rFonts w:ascii="Times New Roman" w:hAnsi="Times New Roman"/>
          <w:color w:val="000000"/>
          <w:sz w:val="20"/>
        </w:rPr>
        <w:t>As of December 31, 2023 and 2022, $10.8</w:t>
      </w:r>
      <w:r>
        <w:rPr>
          <w:rFonts w:ascii="Calibri;sans-serif" w:hAnsi="Calibri;sans-serif"/>
          <w:color w:val="000000"/>
          <w:sz w:val="22"/>
        </w:rPr>
        <w:t xml:space="preserve"> </w:t>
      </w:r>
      <w:r>
        <w:rPr>
          <w:rFonts w:ascii="Times New Roman" w:hAnsi="Times New Roman"/>
          <w:color w:val="000000"/>
          <w:sz w:val="20"/>
        </w:rPr>
        <w:t>million and $9.4</w:t>
      </w:r>
      <w:r>
        <w:rPr>
          <w:rFonts w:ascii="Calibri;sans-serif" w:hAnsi="Calibri;sans-serif"/>
          <w:color w:val="000000"/>
          <w:sz w:val="22"/>
        </w:rPr>
        <w:t xml:space="preserve"> </w:t>
      </w:r>
      <w:r>
        <w:rPr>
          <w:rFonts w:ascii="Times New Roman" w:hAnsi="Times New Roman"/>
          <w:color w:val="000000"/>
          <w:sz w:val="20"/>
        </w:rPr>
        <w:t>million, respectively, was recorded within current deferred revenues with the remainder included within long-term deferred revenue on the consolidated balance sheet.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amounts under our collaboration agreements included in the transaction price (i.e., cumulative amounts triggered or probable) as of December 31, 2023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713"/>
        <w:gridCol w:w="146"/>
        <w:gridCol w:w="211"/>
        <w:gridCol w:w="676"/>
        <w:gridCol w:w="146"/>
        <w:gridCol w:w="146"/>
        <w:gridCol w:w="376"/>
        <w:gridCol w:w="755"/>
        <w:gridCol w:w="146"/>
        <w:gridCol w:w="146"/>
        <w:gridCol w:w="369"/>
        <w:gridCol w:w="1002"/>
        <w:gridCol w:w="146"/>
        <w:gridCol w:w="146"/>
        <w:gridCol w:w="211"/>
        <w:gridCol w:w="676"/>
        <w:gridCol w:w="194"/>
      </w:tblGrid>
      <w:tr>
        <w:trPr/>
        <w:tc>
          <w:tcPr>
            <w:tcW w:w="4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71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Upfront</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Development</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Reimbursements</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partner and agreement date:</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31"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371"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87" w:type="dxa"/>
            <w:gridSpan w:val="2"/>
            <w:tcBorders/>
            <w:shd w:fill="CFF0FC" w:val="clear"/>
            <w:vAlign w:val="center"/>
          </w:tcPr>
          <w:p>
            <w:pPr>
              <w:pStyle w:val="TableContents"/>
              <w:bidi w:val="0"/>
              <w:spacing w:before="0" w:after="283"/>
              <w:jc w:val="center"/>
              <w:rPr/>
            </w:pPr>
            <w:r>
              <w:rPr/>
              <w:t> </w:t>
            </w:r>
          </w:p>
        </w:tc>
        <w:tc>
          <w:tcPr>
            <w:tcW w:w="194" w:type="dxa"/>
            <w:tcBorders/>
            <w:shd w:fill="CFF0FC" w:val="clear"/>
            <w:vAlign w:val="center"/>
          </w:tcPr>
          <w:p>
            <w:pPr>
              <w:pStyle w:val="TableContents"/>
              <w:bidi w:val="0"/>
              <w:spacing w:before="0" w:after="283"/>
              <w:jc w:val="center"/>
              <w:rPr/>
            </w:pPr>
            <w:r>
              <w:rPr/>
              <w:t> </w:t>
            </w:r>
          </w:p>
        </w:tc>
      </w:tr>
      <w:tr>
        <w:trPr/>
        <w:tc>
          <w:tcPr>
            <w:tcW w:w="471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ITI (April 2021)</w:t>
            </w:r>
            <w:r>
              <w:rPr>
                <w:rFonts w:ascii="Times New Roman" w:hAnsi="Times New Roman"/>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3,220</w:t>
            </w:r>
          </w:p>
        </w:tc>
        <w:tc>
          <w:tcPr>
            <w:tcW w:w="194" w:type="dxa"/>
            <w:tcBorders/>
            <w:shd w:fill="FFFFFF" w:val="clear"/>
            <w:vAlign w:val="center"/>
          </w:tcPr>
          <w:p>
            <w:pPr>
              <w:pStyle w:val="TableContents"/>
              <w:bidi w:val="0"/>
              <w:spacing w:before="0" w:after="283"/>
              <w:jc w:val="left"/>
              <w:rPr/>
            </w:pPr>
            <w:r>
              <w:rPr/>
              <w:t> </w:t>
            </w:r>
          </w:p>
        </w:tc>
      </w:tr>
      <w:tr>
        <w:trPr/>
        <w:tc>
          <w:tcPr>
            <w:tcW w:w="4713"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Roche (December 2021)</w:t>
            </w:r>
            <w:r>
              <w:rPr>
                <w:rFonts w:ascii="Times New Roman" w:hAnsi="Times New Roman"/>
                <w:color w:val="000000"/>
                <w:sz w:val="13"/>
              </w:rPr>
              <w:t>(5)</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1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amounts under our collaboration agreements included in the transaction price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5"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2"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53,220</w:t>
            </w:r>
          </w:p>
        </w:tc>
        <w:tc>
          <w:tcPr>
            <w:tcW w:w="194" w:type="dxa"/>
            <w:tcBorders/>
            <w:shd w:fill="FFFFFF" w:val="cle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Upfront license fees.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Event-based development and regulatory milestones amounts.</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Reimbursements and costs-sharing payments.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Regarding the accounting treatment for the collaborative agreement, the license and related development deliverables were determined to be highly interdependent and interrelated and have been combined as one performance obligation. Delivery is determined to be over time and revenue will be recognized utilizing an input method of costs incurred over total estimated costs in the work plan. The regulatory milestones are variable considerations that are fully constrained until the uncertainty of each milestone has been resolved. Sales-based milestones and royalties are variable considerations that will not be included in the transaction price until the related commercialization and sales have occurred. The cost reimbursements are considered variable consideration and are included in the transaction price. Revenues related to the cost reimbursements are presented gross on the consolidated statement of operations instead of a reduction to the costs being reimbursed. We currently estimate the unsatisfied performance obligations within the contract to be completed during the year ending December 31, 2024.</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Regarding the accounting treatment for the collaborative agreement, the license, technology transfer and related clinical deliverables were determined to be highly interdependent and interrelated and have been combined as one performance obligation. Delivery is determined to be over time and revenue will be recognized utilizing an input method of costs incurred over total estimated costs to complete the performance obligation. A material customer option for additional goods and services was included in the transaction price, and $12.0 million of the transaction price was allocated to the second performance obligation. The option will be recognized when the customer exercises the option or when this option expires. Regulatory and development milestones are variable considerations that are fully constrained until the uncertainty of each milestone has been resolved. Sales-based milestones and royalties are variable considerations that will not be included in the transaction price until the related commercialization milestones and sales targets have occurred. We currently estimate the unsatisfied performance obligations within the contract to be completed by December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 Marketable Debt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2023, Lineage had $8.9 million in marketable debt securities classified in the consolidated balance sheet within cash equivalents, as they had an original maturity of three months or less when purchased. As of December 31, 2022, Lineage had $46.0 million in marketable debt securities which had an original maturity of more than three months when purchased, and therefore are not classified as cash equivalents on the consolidated balance sheet.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is a summary of available-for-sale debt securities classified within cash and cash equivalents or marketable securities in the Company’s consolidated balance sheet as of December 31, 2023 and 2022 (in thousands):</w:t>
      </w:r>
    </w:p>
    <w:p>
      <w:pPr>
        <w:pStyle w:val="TextBody"/>
        <w:bidi w:val="0"/>
        <w:jc w:val="both"/>
        <w:rPr/>
      </w:pPr>
      <w:r>
        <w:rPr/>
        <w:t> </w:t>
      </w:r>
    </w:p>
    <w:tbl>
      <w:tblPr>
        <w:tblW w:w="8284" w:type="dxa"/>
        <w:jc w:val="left"/>
        <w:tblInd w:w="0" w:type="dxa"/>
        <w:tblLayout w:type="fixed"/>
        <w:tblCellMar>
          <w:top w:w="28" w:type="dxa"/>
          <w:left w:w="28" w:type="dxa"/>
          <w:bottom w:w="28" w:type="dxa"/>
          <w:right w:w="28" w:type="dxa"/>
        </w:tblCellMar>
      </w:tblPr>
      <w:tblGrid>
        <w:gridCol w:w="2111"/>
        <w:gridCol w:w="146"/>
        <w:gridCol w:w="336"/>
        <w:gridCol w:w="909"/>
        <w:gridCol w:w="146"/>
        <w:gridCol w:w="146"/>
        <w:gridCol w:w="675"/>
        <w:gridCol w:w="675"/>
        <w:gridCol w:w="146"/>
        <w:gridCol w:w="146"/>
        <w:gridCol w:w="771"/>
        <w:gridCol w:w="609"/>
        <w:gridCol w:w="146"/>
        <w:gridCol w:w="146"/>
        <w:gridCol w:w="239"/>
        <w:gridCol w:w="646"/>
        <w:gridCol w:w="291"/>
      </w:tblGrid>
      <w:tr>
        <w:trPr/>
        <w:tc>
          <w:tcPr>
            <w:tcW w:w="2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3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1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8306" w:type="dxa"/>
        <w:jc w:val="left"/>
        <w:tblInd w:w="0" w:type="dxa"/>
        <w:tblLayout w:type="fixed"/>
        <w:tblCellMar>
          <w:top w:w="28" w:type="dxa"/>
          <w:left w:w="28" w:type="dxa"/>
          <w:bottom w:w="28" w:type="dxa"/>
          <w:right w:w="28" w:type="dxa"/>
        </w:tblCellMar>
      </w:tblPr>
      <w:tblGrid>
        <w:gridCol w:w="2111"/>
        <w:gridCol w:w="146"/>
        <w:gridCol w:w="296"/>
        <w:gridCol w:w="949"/>
        <w:gridCol w:w="146"/>
        <w:gridCol w:w="146"/>
        <w:gridCol w:w="675"/>
        <w:gridCol w:w="675"/>
        <w:gridCol w:w="146"/>
        <w:gridCol w:w="146"/>
        <w:gridCol w:w="420"/>
        <w:gridCol w:w="960"/>
        <w:gridCol w:w="166"/>
        <w:gridCol w:w="146"/>
        <w:gridCol w:w="211"/>
        <w:gridCol w:w="676"/>
        <w:gridCol w:w="291"/>
      </w:tblGrid>
      <w:tr>
        <w:trPr/>
        <w:tc>
          <w:tcPr>
            <w:tcW w:w="2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1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46,097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46,097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Company has not recognized an allowance for credit losses on any securities in an unrealized loss position as of December 31, 2023 and 2022. We believe that the individual unrealized losses represent temporary declines resulting from changes in interest rates, and we intend to hold these marketable securities to their maturity. The Company currently does not intend to sell these securities prior to maturity and does not consider these investments to be other-than-temporarily impaired at December 31,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the amortized cost and estimated fair value of the Company’s available-for-sale debt securities by contractual maturity are shown below (in thousands):</w:t>
      </w:r>
    </w:p>
    <w:p>
      <w:pPr>
        <w:pStyle w:val="TextBody"/>
        <w:bidi w:val="0"/>
        <w:jc w:val="both"/>
        <w:rPr/>
      </w:pPr>
      <w:r>
        <w:rPr/>
        <w:t> </w:t>
      </w:r>
    </w:p>
    <w:tbl>
      <w:tblPr>
        <w:tblW w:w="7255" w:type="dxa"/>
        <w:jc w:val="left"/>
        <w:tblInd w:w="0" w:type="dxa"/>
        <w:tblLayout w:type="fixed"/>
        <w:tblCellMar>
          <w:top w:w="28" w:type="dxa"/>
          <w:left w:w="28" w:type="dxa"/>
          <w:bottom w:w="28" w:type="dxa"/>
          <w:right w:w="28" w:type="dxa"/>
        </w:tblCellMar>
      </w:tblPr>
      <w:tblGrid>
        <w:gridCol w:w="3631"/>
        <w:gridCol w:w="146"/>
        <w:gridCol w:w="336"/>
        <w:gridCol w:w="909"/>
        <w:gridCol w:w="146"/>
        <w:gridCol w:w="146"/>
        <w:gridCol w:w="443"/>
        <w:gridCol w:w="1207"/>
        <w:gridCol w:w="2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debt securities maturing:</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6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 one year or less</w:t>
            </w:r>
          </w:p>
        </w:tc>
        <w:tc>
          <w:tcPr>
            <w:tcW w:w="146" w:type="dxa"/>
            <w:tcBorders/>
            <w:shd w:fill="CFF0FC" w:val="cle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available-for-sale debt securities</w:t>
            </w:r>
          </w:p>
        </w:tc>
        <w:tc>
          <w:tcPr>
            <w:tcW w:w="146" w:type="dxa"/>
            <w:tcBorders/>
            <w:shd w:fill="FFFFFF" w:val="cle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sz w:val="20"/>
        </w:rPr>
      </w:pPr>
      <w:r>
        <w:rPr>
          <w:rFonts w:ascii="Times New Roman" w:hAnsi="Times New Roman"/>
          <w:b/>
          <w:color w:val="000000"/>
          <w:sz w:val="20"/>
        </w:rPr>
        <w:t>5. Marketable Equity Securities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Marketable equity securities are reported at fair value with unrealized gains and losses related to mark-to-market adjustments included in income. Lineage’s marketable equity securities consist of the shares of stock of OncoCyte Corporation and Hadasit Bio-Holdings Ltd (“HBL”). All share prices are determined based on the closing price of OncoCyte and HBL common stock on the last day of the applicable quarter, or the last trading day of the applicable quarter, if the last day of a quarter fell on a day that was not a trading day.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Lineage owned approximately 7,500 shares of OncoCyte common stock, which had a fair value of $19,000 based on the closing price of OncoCyte common stock of $2.50 per share on that date. As of December 31, 2022, Lineage owned approximately 56,000 shares of OncoCyte common stock, which had a fair value of $0.4 million based on the closing price of OncoCyte common stock of $6.42 per share on that date. The fair market value of the HBL shares was $31,000 and $62,000 as of December 31, 2023 and 2022.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represents the realized and unrealized loss on marketable equity securities (in thousands):</w:t>
      </w:r>
    </w:p>
    <w:p>
      <w:pPr>
        <w:pStyle w:val="TextBody"/>
        <w:bidi w:val="0"/>
        <w:jc w:val="both"/>
        <w:rPr/>
      </w:pPr>
      <w:r>
        <w:rPr/>
        <w:t> </w:t>
      </w:r>
    </w:p>
    <w:tbl>
      <w:tblPr>
        <w:tblW w:w="9458" w:type="dxa"/>
        <w:jc w:val="left"/>
        <w:tblInd w:w="0" w:type="dxa"/>
        <w:tblLayout w:type="fixed"/>
        <w:tblCellMar>
          <w:top w:w="28" w:type="dxa"/>
          <w:left w:w="28" w:type="dxa"/>
          <w:bottom w:w="28" w:type="dxa"/>
          <w:right w:w="28" w:type="dxa"/>
        </w:tblCellMar>
      </w:tblPr>
      <w:tblGrid>
        <w:gridCol w:w="6961"/>
        <w:gridCol w:w="146"/>
        <w:gridCol w:w="228"/>
        <w:gridCol w:w="520"/>
        <w:gridCol w:w="179"/>
        <w:gridCol w:w="157"/>
        <w:gridCol w:w="228"/>
        <w:gridCol w:w="682"/>
        <w:gridCol w:w="166"/>
        <w:gridCol w:w="191"/>
      </w:tblGrid>
      <w:tr>
        <w:trPr/>
        <w:tc>
          <w:tcPr>
            <w:tcW w:w="6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6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left"/>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69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marketable equity securities, net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69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Loss recognized in earnings on marketable equity securities sold</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69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recognized on marketable equity securities held at end of period, net</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6. Property and Equipment,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December 31, 2023 and 2022, property and equipment, net was comprised of the following (in thousands):</w:t>
      </w:r>
    </w:p>
    <w:p>
      <w:pPr>
        <w:pStyle w:val="TextBody"/>
        <w:bidi w:val="0"/>
        <w:jc w:val="left"/>
        <w:rPr/>
      </w:pPr>
      <w:r>
        <w:rPr/>
        <w:t> </w:t>
      </w:r>
    </w:p>
    <w:tbl>
      <w:tblPr>
        <w:tblW w:w="7460" w:type="dxa"/>
        <w:jc w:val="left"/>
        <w:tblInd w:w="0" w:type="dxa"/>
        <w:tblLayout w:type="fixed"/>
        <w:tblCellMar>
          <w:top w:w="28" w:type="dxa"/>
          <w:left w:w="28" w:type="dxa"/>
          <w:bottom w:w="28" w:type="dxa"/>
          <w:right w:w="28" w:type="dxa"/>
        </w:tblCellMar>
      </w:tblPr>
      <w:tblGrid>
        <w:gridCol w:w="3691"/>
        <w:gridCol w:w="146"/>
        <w:gridCol w:w="376"/>
        <w:gridCol w:w="1124"/>
        <w:gridCol w:w="166"/>
        <w:gridCol w:w="146"/>
        <w:gridCol w:w="376"/>
        <w:gridCol w:w="1124"/>
        <w:gridCol w:w="31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furniture and fixtures</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w:t>
            </w:r>
          </w:p>
        </w:tc>
        <w:tc>
          <w:tcPr>
            <w:tcW w:w="311" w:type="dxa"/>
            <w:tcBorders/>
            <w:shd w:fill="CFF0FC" w:val="clear"/>
            <w:vAlign w:val="center"/>
          </w:tcPr>
          <w:p>
            <w:pPr>
              <w:pStyle w:val="TableContents"/>
              <w:bidi w:val="0"/>
              <w:spacing w:before="0" w:after="283"/>
              <w:jc w:val="left"/>
              <w:rPr/>
            </w:pPr>
            <w:r>
              <w:rPr/>
              <w:t> </w:t>
            </w:r>
          </w:p>
        </w:tc>
      </w:tr>
      <w:tr>
        <w:trPr/>
        <w:tc>
          <w:tcPr>
            <w:tcW w:w="3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311" w:type="dxa"/>
            <w:tcBorders/>
            <w:shd w:fill="FFFFFF" w:val="clear"/>
            <w:vAlign w:val="center"/>
          </w:tcPr>
          <w:p>
            <w:pPr>
              <w:pStyle w:val="TableContents"/>
              <w:bidi w:val="0"/>
              <w:spacing w:before="0" w:after="283"/>
              <w:jc w:val="left"/>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 Operating Lease</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w:t>
            </w:r>
          </w:p>
        </w:tc>
        <w:tc>
          <w:tcPr>
            <w:tcW w:w="311" w:type="dxa"/>
            <w:tcBorders/>
            <w:shd w:fill="CFF0FC" w:val="clear"/>
            <w:vAlign w:val="center"/>
          </w:tcPr>
          <w:p>
            <w:pPr>
              <w:pStyle w:val="TableContents"/>
              <w:bidi w:val="0"/>
              <w:spacing w:before="0" w:after="283"/>
              <w:jc w:val="left"/>
              <w:rPr/>
            </w:pPr>
            <w:r>
              <w:rPr/>
              <w:t> </w:t>
            </w:r>
          </w:p>
        </w:tc>
      </w:tr>
      <w:tr>
        <w:trPr/>
        <w:tc>
          <w:tcPr>
            <w:tcW w:w="3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 Finance Lease</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311" w:type="dxa"/>
            <w:tcBorders/>
            <w:shd w:fill="FFFFFF" w:val="clear"/>
            <w:vAlign w:val="center"/>
          </w:tcPr>
          <w:p>
            <w:pPr>
              <w:pStyle w:val="TableContents"/>
              <w:bidi w:val="0"/>
              <w:spacing w:before="0" w:after="283"/>
              <w:jc w:val="left"/>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5,673</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Depreciation and amortization expense amounted to $562,000 and $582,000 for the years ended December 31, 2023 and 2022, respectively. Additionally, amortization expense for right-of-use finance lease assets amounted to $50,000 and $14,000 for the years ended December 31, 2023 and 2022, respectively.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 Goodwill and Intangible Assets,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December 31, 2023 and 2022, goodwill and intangible assets, net consisted of the following (in thousands):</w:t>
      </w:r>
    </w:p>
    <w:p>
      <w:pPr>
        <w:pStyle w:val="TextBody"/>
        <w:bidi w:val="0"/>
        <w:jc w:val="both"/>
        <w:rPr/>
      </w:pPr>
      <w:r>
        <w:rPr/>
        <w:t> </w:t>
      </w:r>
    </w:p>
    <w:tbl>
      <w:tblPr>
        <w:tblW w:w="8395" w:type="dxa"/>
        <w:jc w:val="left"/>
        <w:tblInd w:w="0" w:type="dxa"/>
        <w:tblLayout w:type="fixed"/>
        <w:tblCellMar>
          <w:top w:w="28" w:type="dxa"/>
          <w:left w:w="28" w:type="dxa"/>
          <w:bottom w:w="28" w:type="dxa"/>
          <w:right w:w="28" w:type="dxa"/>
        </w:tblCellMar>
      </w:tblPr>
      <w:tblGrid>
        <w:gridCol w:w="4646"/>
        <w:gridCol w:w="146"/>
        <w:gridCol w:w="334"/>
        <w:gridCol w:w="1166"/>
        <w:gridCol w:w="166"/>
        <w:gridCol w:w="146"/>
        <w:gridCol w:w="334"/>
        <w:gridCol w:w="1166"/>
        <w:gridCol w:w="291"/>
      </w:tblGrid>
      <w:tr>
        <w:trPr/>
        <w:tc>
          <w:tcPr>
            <w:tcW w:w="4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Goodwill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46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64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Acquired IPR&amp;D – OPC1 (from the Asterias Merger) </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64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Acquired IPR&amp;D – VAC (from the Asterias Merger)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14,840</w:t>
            </w:r>
          </w:p>
        </w:tc>
        <w:tc>
          <w:tcPr>
            <w:tcW w:w="291" w:type="dxa"/>
            <w:tcBorders/>
            <w:shd w:fill="FFFFFF" w:val="clear"/>
            <w:vAlign w:val="center"/>
          </w:tcPr>
          <w:p>
            <w:pPr>
              <w:pStyle w:val="TableContents"/>
              <w:bidi w:val="0"/>
              <w:spacing w:before="0" w:after="283"/>
              <w:jc w:val="left"/>
              <w:rPr/>
            </w:pPr>
            <w:r>
              <w:rPr/>
              <w:t> </w:t>
            </w:r>
          </w:p>
        </w:tc>
      </w:tr>
      <w:tr>
        <w:trPr/>
        <w:tc>
          <w:tcPr>
            <w:tcW w:w="46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subject to amortization:</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64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Acquired patents</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64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Acquired royalty contracts </w:t>
            </w:r>
            <w:r>
              <w:rPr>
                <w:rFonts w:ascii="Times New Roman" w:hAnsi="Times New Roman"/>
                <w:color w:val="000000"/>
                <w:sz w:val="13"/>
              </w:rPr>
              <w:t>(3)</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66,143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64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Accumulated amortization </w:t>
            </w:r>
            <w:r>
              <w:rPr>
                <w:rFonts w:ascii="Times New Roman" w:hAnsi="Times New Roman"/>
                <w:color w:val="000000"/>
                <w:sz w:val="13"/>
              </w:rPr>
              <w:t>(4)</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46,692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Goodwill represents the excess of the purchase price over the fair value of the net tangible and identifiable intangible assets acquired and liabilities assumed in the Asterias Merger, see Note 14 (Commitment and Contingencies) for further discussion on the Asterias Merger. To date, we have not recognized any goodwill impairment.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Asterias had two IPR&amp;D intangible assets that were valued at $46.5 million as part of the purchase price allocation that was performed in connection with the Asterias Merger. The fair value of these assets at the acquisition date consisted of $31.7 million pertaining to the OPC1 program and $14.8 million pertaining to the VAC platform.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both"/>
        <w:rPr>
          <w:rFonts w:ascii="Times New Roman" w:hAnsi="Times New Roman"/>
          <w:sz w:val="20"/>
        </w:rPr>
      </w:pPr>
      <w:r>
        <w:rPr>
          <w:rFonts w:ascii="Times New Roman" w:hAnsi="Times New Roman"/>
          <w:color w:val="000000"/>
          <w:sz w:val="20"/>
        </w:rPr>
        <w:t xml:space="preserve">Asterias had royalty cash flows under patent families it acquired from Geron Corporation. Such patent families are expected to continue to generate revenue, are not used in the OPC1 or the VAC platform, and are considered to be separate long-lived intangible assets under ASC Topic 805, </w:t>
      </w:r>
      <w:r>
        <w:rPr>
          <w:rFonts w:ascii="Times New Roman" w:hAnsi="Times New Roman"/>
          <w:i/>
          <w:color w:val="000000"/>
          <w:sz w:val="20"/>
        </w:rPr>
        <w:t>Business Combinations</w:t>
      </w:r>
      <w:r>
        <w:rPr>
          <w:rFonts w:ascii="Times New Roman" w:hAnsi="Times New Roman"/>
          <w:color w:val="000000"/>
          <w:sz w:val="2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As of December 31, 2023 the acquired patents were fully amortized and the acquired royalty contracts had a remaining unamortized balance of $22,000, which will be amortized during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Lineage recognized approximately $0.1 in amortization expense of intangible assets during each of the years ended December 31, 2023 and 2022.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 Accounts Payable and Accrued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December 31, 2023 and 2022, accounts payable and accrued liabilities consist of the following (in thousands):</w:t>
      </w:r>
    </w:p>
    <w:p>
      <w:pPr>
        <w:pStyle w:val="TextBody"/>
        <w:bidi w:val="0"/>
        <w:jc w:val="both"/>
        <w:rPr/>
      </w:pPr>
      <w:r>
        <w:rPr/>
        <w:t> </w:t>
      </w:r>
    </w:p>
    <w:tbl>
      <w:tblPr>
        <w:tblW w:w="5710" w:type="dxa"/>
        <w:jc w:val="left"/>
        <w:tblInd w:w="0" w:type="dxa"/>
        <w:tblLayout w:type="fixed"/>
        <w:tblCellMar>
          <w:top w:w="28" w:type="dxa"/>
          <w:left w:w="28" w:type="dxa"/>
          <w:bottom w:w="28" w:type="dxa"/>
          <w:right w:w="28" w:type="dxa"/>
        </w:tblCellMar>
      </w:tblPr>
      <w:tblGrid>
        <w:gridCol w:w="1981"/>
        <w:gridCol w:w="146"/>
        <w:gridCol w:w="403"/>
        <w:gridCol w:w="1097"/>
        <w:gridCol w:w="146"/>
        <w:gridCol w:w="146"/>
        <w:gridCol w:w="403"/>
        <w:gridCol w:w="1097"/>
        <w:gridCol w:w="2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w:t>
            </w:r>
          </w:p>
        </w:tc>
        <w:tc>
          <w:tcPr>
            <w:tcW w:w="291" w:type="dxa"/>
            <w:tcBorders/>
            <w:shd w:fill="CFF0FC"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w:t>
            </w:r>
          </w:p>
        </w:tc>
        <w:tc>
          <w:tcPr>
            <w:tcW w:w="291" w:type="dxa"/>
            <w:tcBorders/>
            <w:shd w:fill="FFFFFF" w:val="clear"/>
            <w:vAlign w:val="center"/>
          </w:tcPr>
          <w:p>
            <w:pPr>
              <w:pStyle w:val="TableContents"/>
              <w:bidi w:val="0"/>
              <w:spacing w:before="0" w:after="283"/>
              <w:jc w:val="left"/>
              <w:rPr/>
            </w:pPr>
            <w:r>
              <w:rPr/>
              <w:t> </w:t>
            </w:r>
          </w:p>
        </w:tc>
      </w:tr>
      <w:tr>
        <w:trPr/>
        <w:tc>
          <w:tcPr>
            <w:tcW w:w="1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9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4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8,608</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9. Fair Value Measurements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 (ASC 820-10-50), </w:t>
      </w:r>
      <w:r>
        <w:rPr>
          <w:rFonts w:ascii="Times New Roman" w:hAnsi="Times New Roman"/>
          <w:i/>
          <w:color w:val="000000"/>
          <w:sz w:val="20"/>
        </w:rPr>
        <w:t>Fair Value Measurements and Disclosures</w:t>
      </w:r>
      <w:r>
        <w:rPr>
          <w:rFonts w:ascii="Times New Roman" w:hAnsi="Times New Roman"/>
          <w:color w:val="000000"/>
          <w:sz w:val="20"/>
        </w:rPr>
        <w: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1 – Inputs to the valuation methodology are quoted prices for identical assets or liabilities in active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3 – Inputs to the valuation methodology are unobservable; that reflect management’s own assumptions about the assumptions market participants would make and significant to the fair value.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not transferred any instruments between the three levels of the fair value hierarchy.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carrying value of cash, restricted cash, accounts receivable, accounts payable, and accrued liabilities approximate their respective fair values due to their relative short maturities. We measure our cash equivalents, marketable securities and our liability classified warrants at fair value on a recurring basis. The fair values of such assets and liabilities were as follows as of December 31, 2023 and 2022 (in thousands):</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875"/>
        <w:gridCol w:w="146"/>
        <w:gridCol w:w="352"/>
        <w:gridCol w:w="1130"/>
        <w:gridCol w:w="146"/>
        <w:gridCol w:w="146"/>
        <w:gridCol w:w="514"/>
        <w:gridCol w:w="1647"/>
        <w:gridCol w:w="146"/>
        <w:gridCol w:w="146"/>
        <w:gridCol w:w="644"/>
        <w:gridCol w:w="1059"/>
        <w:gridCol w:w="146"/>
        <w:gridCol w:w="146"/>
        <w:gridCol w:w="631"/>
        <w:gridCol w:w="1036"/>
        <w:gridCol w:w="295"/>
      </w:tblGrid>
      <w:tr>
        <w:trPr/>
        <w:tc>
          <w:tcPr>
            <w:tcW w:w="18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8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Quoted Prices in Active Markets for Identical Assets </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Other Observable Inputs </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Unobservable Inputs </w:t>
              <w:br/>
              <w:t>(Level 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4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3"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7" w:type="dxa"/>
            <w:gridSpan w:val="2"/>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ind w:left="0" w:right="0" w:firstLine="100"/>
              <w:jc w:val="left"/>
              <w:rPr/>
            </w:pPr>
            <w:r>
              <w:rPr/>
              <w:t> </w:t>
            </w:r>
          </w:p>
        </w:tc>
      </w:tr>
      <w:tr>
        <w:trPr/>
        <w:tc>
          <w:tcPr>
            <w:tcW w:w="1875"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Money market fund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295" w:type="dxa"/>
            <w:tcBorders/>
            <w:shd w:fill="FFFFFF" w:val="clear"/>
            <w:vAlign w:val="center"/>
          </w:tcPr>
          <w:p>
            <w:pPr>
              <w:pStyle w:val="TableContents"/>
              <w:bidi w:val="0"/>
              <w:spacing w:before="0" w:after="283"/>
              <w:ind w:left="0" w:right="0" w:firstLine="100"/>
              <w:jc w:val="left"/>
              <w:rPr/>
            </w:pPr>
            <w:r>
              <w:rPr/>
              <w:t> </w:t>
            </w:r>
          </w:p>
        </w:tc>
      </w:tr>
      <w:tr>
        <w:trPr/>
        <w:tc>
          <w:tcPr>
            <w:tcW w:w="1875"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Marketable debt securities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11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left"/>
              <w:rPr/>
            </w:pPr>
            <w:r>
              <w:rPr/>
              <w:t> </w:t>
            </w:r>
          </w:p>
        </w:tc>
        <w:tc>
          <w:tcPr>
            <w:tcW w:w="1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left"/>
              <w:rPr/>
            </w:pPr>
            <w:r>
              <w:rPr/>
              <w:t> </w:t>
            </w:r>
          </w:p>
        </w:tc>
        <w:tc>
          <w:tcPr>
            <w:tcW w:w="105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295" w:type="dxa"/>
            <w:tcBorders/>
            <w:shd w:fill="CFF0FC" w:val="clear"/>
            <w:vAlign w:val="center"/>
          </w:tcPr>
          <w:p>
            <w:pPr>
              <w:pStyle w:val="TableContents"/>
              <w:bidi w:val="0"/>
              <w:spacing w:before="0" w:after="283"/>
              <w:ind w:left="0" w:right="0" w:firstLine="100"/>
              <w:jc w:val="left"/>
              <w:rPr/>
            </w:pPr>
            <w:r>
              <w:rPr/>
              <w:t> </w:t>
            </w:r>
          </w:p>
        </w:tc>
      </w:tr>
      <w:tr>
        <w:trPr/>
        <w:tc>
          <w:tcPr>
            <w:tcW w:w="187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FFFFFF" w:val="cle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278"/>
        <w:gridCol w:w="146"/>
        <w:gridCol w:w="334"/>
        <w:gridCol w:w="1073"/>
        <w:gridCol w:w="146"/>
        <w:gridCol w:w="146"/>
        <w:gridCol w:w="476"/>
        <w:gridCol w:w="1526"/>
        <w:gridCol w:w="146"/>
        <w:gridCol w:w="146"/>
        <w:gridCol w:w="607"/>
        <w:gridCol w:w="999"/>
        <w:gridCol w:w="146"/>
        <w:gridCol w:w="146"/>
        <w:gridCol w:w="604"/>
        <w:gridCol w:w="991"/>
        <w:gridCol w:w="295"/>
      </w:tblGrid>
      <w:tr>
        <w:trPr/>
        <w:tc>
          <w:tcPr>
            <w:tcW w:w="2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27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8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 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Quoted Prices in Active Markets for Identical Assets </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Other Observable Inputs </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Unobservable Inputs </w:t>
              <w:br/>
              <w:t>(Level 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40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95" w:type="dxa"/>
            <w:gridSpan w:val="2"/>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ind w:left="0" w:right="0" w:firstLine="100"/>
              <w:jc w:val="left"/>
              <w:rPr/>
            </w:pPr>
            <w:r>
              <w:rPr/>
              <w:t> </w:t>
            </w:r>
          </w:p>
        </w:tc>
      </w:tr>
      <w:tr>
        <w:trPr/>
        <w:tc>
          <w:tcPr>
            <w:tcW w:w="2278"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Money market fund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295" w:type="dxa"/>
            <w:tcBorders/>
            <w:shd w:fill="FFFFFF" w:val="clear"/>
            <w:vAlign w:val="center"/>
          </w:tcPr>
          <w:p>
            <w:pPr>
              <w:pStyle w:val="TableContents"/>
              <w:bidi w:val="0"/>
              <w:spacing w:before="0" w:after="283"/>
              <w:ind w:left="0" w:right="0" w:firstLine="100"/>
              <w:jc w:val="left"/>
              <w:rPr/>
            </w:pPr>
            <w:r>
              <w:rPr/>
              <w:t> </w:t>
            </w:r>
          </w:p>
        </w:tc>
      </w:tr>
      <w:tr>
        <w:trPr/>
        <w:tc>
          <w:tcPr>
            <w:tcW w:w="227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0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left"/>
              <w:rPr/>
            </w:pPr>
            <w:r>
              <w:rPr/>
              <w:t> </w:t>
            </w:r>
          </w:p>
        </w:tc>
        <w:tc>
          <w:tcPr>
            <w:tcW w:w="1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7"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4"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color w:val="000000"/>
              </w:rPr>
            </w:pPr>
            <w:r>
              <w:rPr>
                <w:color w:val="000000"/>
              </w:rPr>
              <w:t>—</w:t>
            </w:r>
          </w:p>
        </w:tc>
        <w:tc>
          <w:tcPr>
            <w:tcW w:w="295" w:type="dxa"/>
            <w:tcBorders/>
            <w:shd w:fill="CFF0FC" w:val="clear"/>
            <w:vAlign w:val="center"/>
          </w:tcPr>
          <w:p>
            <w:pPr>
              <w:pStyle w:val="TableContents"/>
              <w:bidi w:val="0"/>
              <w:spacing w:before="0" w:after="283"/>
              <w:ind w:left="0" w:right="0" w:firstLine="100"/>
              <w:jc w:val="left"/>
              <w:rPr/>
            </w:pPr>
            <w:r>
              <w:rPr/>
              <w:t> </w:t>
            </w:r>
          </w:p>
        </w:tc>
      </w:tr>
      <w:tr>
        <w:trPr/>
        <w:tc>
          <w:tcPr>
            <w:tcW w:w="227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7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14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5" w:type="dxa"/>
            <w:gridSpan w:val="2"/>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ind w:left="0" w:right="0" w:firstLine="100"/>
              <w:jc w:val="left"/>
              <w:rPr/>
            </w:pPr>
            <w:r>
              <w:rPr/>
              <w:t> </w:t>
            </w:r>
          </w:p>
        </w:tc>
      </w:tr>
      <w:tr>
        <w:trPr/>
        <w:tc>
          <w:tcPr>
            <w:tcW w:w="2278"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Warrants to purchase Cell Cure ordinary shares </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measured at fair value</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Included in cash and cash equivalents in the accompanying consolidated balance sheet. Marketable debt securities purchased with an original maturity of three months or less have been classified as cash equivalents. There were no marketable debt securities classified as cash equivalents at December 31, 2022.</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In determining fair value of the liability classified warrants, Lineage utilizes a Black-Scholes pricing model that maximizes the use of observable inputs and minimizes the use of unobservable inputs to the extent possible, and also considers counterparty credit risk in its assessment of fair value. The significant unobservable inputs used in the fair value measurement of the Company’s Level 3 Cell Cure warrant liabilities are volatility and share value. A significant increase or decrease in these Level 3 inputs could result in a significantly higher or lower fair value measurements.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Lineage’s marketable equity securities includes the shares of stock of OncoCyte and HBL. Both securities have readily determinable fair values quoted on the NYSE American or TASE (Level 1). These securities are measured at fair value and reported as current assets on the accompanying consolidated balance sheets based on the closing trading price of the security as of the date being presented.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 Related Party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putative shareholder class action lawsuits filed in February 2019 and October 2019 challenging the Asterias Merger (see Note 14 (Commitments and Contingencies)), Lineage agreed to pay the expenses for the legal defense of Neal Bradsher, a member of the Lineage board of directors, Broadwood Partners, L.P., a shareholder of Lineage, and Broadwood Capital, Inc., which serves as the general partner of Broadwood Partners, L.P., all of whom were named defendants in the lawsuits, prior to being dismissed. As of December 31, 2023, and 2022, Lineage had incurred a cumulative total of approximately $626,000 and $620,000, respectively, in legal expenses on behalf of the foregoing parties.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11. Shareholders’ Equity</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Preferred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Lineage is authorized to issue 2,000,000 preferred shares, no par value. The preferred shares may be issued in one or more series as the Lineage board of directors may determine by resolution. The Lineage board of directors is authorized to fix the number of shares of any series of preferred shares and to determine or alter the rights, preferences, privileges, and restrictions granted to or imposed on the preferred shares as a class, or upon any wholly unissued series of any preferred shares. The Lineage board of directors may, by resolution, increase or decrease (but not below the number of shares of such series then outstanding) the number of shares of any series of preferred shares subsequent to the issue of shares of that series. As of December 31, 2023 and 2022, there were no preferred shares issued or outstanding.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Common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December 31, 2022, Lineage was authorized to issue 250,000,000 common shares, no par value. In September 2023, Lineage's shareholders approved an increase in the number of authorized common shares, no par value, from 250,000,000 to 450,000,000. As of December 31, 2023 and December 31, 2022, there were 174,986,671 and 170,093,114 common shares issued and outstanding, respectively.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At The Market Offering Program</w:t>
      </w:r>
    </w:p>
    <w:p>
      <w:pPr>
        <w:pStyle w:val="TextBody"/>
        <w:bidi w:val="0"/>
        <w:spacing w:before="120" w:after="283"/>
        <w:jc w:val="both"/>
        <w:rPr>
          <w:rFonts w:ascii="Times New Roman" w:hAnsi="Times New Roman"/>
          <w:sz w:val="20"/>
        </w:rPr>
      </w:pPr>
      <w:r>
        <w:rPr>
          <w:rFonts w:ascii="Times New Roman" w:hAnsi="Times New Roman"/>
          <w:color w:val="000000"/>
          <w:sz w:val="20"/>
        </w:rPr>
        <w:t>In May 2020, Lineage entered into a Controlled Equity Offering</w:t>
      </w:r>
      <w:r>
        <w:rPr>
          <w:rFonts w:ascii="Times New Roman" w:hAnsi="Times New Roman"/>
          <w:color w:val="000000"/>
          <w:sz w:val="13"/>
        </w:rPr>
        <w:t>SM</w:t>
      </w:r>
      <w:r>
        <w:rPr>
          <w:rFonts w:ascii="Times New Roman" w:hAnsi="Times New Roman"/>
          <w:color w:val="000000"/>
          <w:sz w:val="20"/>
        </w:rPr>
        <w:t xml:space="preserve"> Sales Agreement (the “Sales Agreement”) with Cantor Fitzgerald &amp; Co., as sales agent (“Cantor Fitzgerald”), pursuant to which Lineage may sell its common shares from time to time through an ATM program under the Sales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March 2021, Lineage filed a prospectus supplement with the SEC in connection with the offer and sale of $25.0 million of common shares through the ATM program under the Sales Agreement (“March 2021 Prospectus Supplement”).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2021, Lineage filed a prospectus supplement with the SEC in connection with the offer and sale of up to $64.1 million of common shares (which included $14.1 million of its common shares which then remained unsold under the March 2021 Prospectus Supplement) through the ATM program under the Sales Agreement. Following the filing of the prospectus supplement in December 2021, no further sales were made or will be made under the March 2021 Prospectus Supplement. The prospectus supplement filed in December 2021 was updated, amended and supplemented by a prospectus supplement filed with the SEC on May 18, 2023 (the prospectus supplement filed in December 2021, as updated, amended and supplemented by the prospectus supplement filed in May 2023, the “ATM Prospectus Supplement”).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Lineage had sold 4,882,803 common shares under the ATM Prospectus Supplement at a weighted average price per share of $1.41 for gross proceeds of $6.9 million. As of December 31, 2023, $57.2 million remained available for sale under the ATM Prospectus Supplement. During the year ended December 31, 2023, 4,774,603 shares were sold under the ATM Prospectus Supplement for gross proceeds of $6.6 million and net proceeds of $6.4 million. There were no such sales during 2022.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shares offered under the ATM Prospectus Supplement are registered pursuant to Lineage’s effective shelf registration statement on Form S-3 (File No. 333-254167), which was filed with the SEC on March 5, 2021 and declared effective on March 19, 2021.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Lineage agreed to pay Cantor Fitzgerald a commission of 3.0% of the aggregate gross proceeds from the sale of shares under the Sales Agreement, reimburse its legal fees and disbursements, and provide Cantor Fitzgerald with customary indemnification and contribution rights. The Sales Agreement may be terminated by Cantor Fitzgerald or Lineage at any time upon notice to the other party, or by Cantor Fitzgerald at any time in certain circumstances, including the occurrence of a material and adverse change in Lineage’s business or financial condition that makes it impractical or inadvisable to market the shares or to enforce contracts for the sale of the shares.</w:t>
      </w:r>
    </w:p>
    <w:p>
      <w:pPr>
        <w:pStyle w:val="TextBody"/>
        <w:bidi w:val="0"/>
        <w:spacing w:before="360" w:after="283"/>
        <w:jc w:val="both"/>
        <w:rPr>
          <w:rFonts w:ascii="Times New Roman" w:hAnsi="Times New Roman"/>
          <w:sz w:val="20"/>
        </w:rPr>
      </w:pPr>
      <w:r>
        <w:rPr>
          <w:rFonts w:ascii="Times New Roman" w:hAnsi="Times New Roman"/>
          <w:b/>
          <w:color w:val="000000"/>
          <w:sz w:val="20"/>
        </w:rPr>
        <w:t>12. Stock-Based Awards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Equity Incentive Plan Awards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September 2021, our shareholders approved the Lineage Cell Therapeutics, Inc. 2021 Equity Incentive Plan and in September 2023, our shareholders approved an amendment to increase the number of common shares that may be issued thereunder by 19,500,000 (as amended to date, the “2021 Plan”). The 2021 Plan provides for the grant of incentive stock options, nonstatutory stock options, stock appreciation rights, restricted stock awards, RSUs, and other stock awards. All of our employees (including those of our affiliates), non-employee directors and consultants are eligible to participate in the 2021 Plan.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Subject to adjustment for certain changes in our capitalization, the aggregate number of our common shares that may be issued under the 2021 Plan will not exceed the sum of (i) 34,500,000 shares and (ii) the number of shares subject to awards granted under the Lineage Cell Therapeutics Inc. 2012 Equity Incentive Plan (the “2012 Plan”) that were outstanding when the 2021 Plan became effective and are not issued because such awards expire or otherwise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terminate. As a result of the approval of the 2021 Plan by our shareholders, no additional awards will be granted under the 2012 Plan. As of December 31, 2023, there were 27,078,144 shares available for grant under the 2021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February 11, 2022, Lineage granted 694,424 RSUs to certain employees, including the Company’s executive officers, to further align management with the achievement of certain development milestones under the Roche Agreement. For each RSU, half of the common shares subject to the RSU will vest in four equal annual installments beginning on the first anniversary of the grant date. The other half of the common shares will vest in connection with the achievement of certain development milestones set forth in the Roche Agreement. Additionally, on March 10, 2022, Lineage granted 300,000 RSUs to its Chief Executive Officer. 100,000 of these RSUs were forfeited on March 9, 2023, and 100,000 will vest on or prior to each of the second and third anniversaries of such date, in each case upon the achievement of certain per share performance targets, calculated based on the trailing 20-day volume weighted average price of the Company’s common shares as of the date of determination. If such per share performance targets are not achieved by the applicable vesting date, then such RSUs will be forfeited.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summary of activity under the 2021 Plan is as follows (in thousands, except per share amounts):</w:t>
      </w:r>
    </w:p>
    <w:p>
      <w:pPr>
        <w:pStyle w:val="TextBody"/>
        <w:bidi w:val="0"/>
        <w:jc w:val="both"/>
        <w:rPr/>
      </w:pPr>
      <w:r>
        <w:rPr/>
        <w:t> </w:t>
      </w:r>
    </w:p>
    <w:tbl>
      <w:tblPr>
        <w:tblW w:w="10154" w:type="dxa"/>
        <w:jc w:val="left"/>
        <w:tblInd w:w="0" w:type="dxa"/>
        <w:tblLayout w:type="fixed"/>
        <w:tblCellMar>
          <w:top w:w="28" w:type="dxa"/>
          <w:left w:w="28" w:type="dxa"/>
          <w:bottom w:w="28" w:type="dxa"/>
          <w:right w:w="28" w:type="dxa"/>
        </w:tblCellMar>
      </w:tblPr>
      <w:tblGrid>
        <w:gridCol w:w="3541"/>
        <w:gridCol w:w="146"/>
        <w:gridCol w:w="199"/>
        <w:gridCol w:w="926"/>
        <w:gridCol w:w="166"/>
        <w:gridCol w:w="146"/>
        <w:gridCol w:w="350"/>
        <w:gridCol w:w="775"/>
        <w:gridCol w:w="146"/>
        <w:gridCol w:w="146"/>
        <w:gridCol w:w="250"/>
        <w:gridCol w:w="800"/>
        <w:gridCol w:w="146"/>
        <w:gridCol w:w="146"/>
        <w:gridCol w:w="748"/>
        <w:gridCol w:w="1232"/>
        <w:gridCol w:w="2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Options </w:t>
              <w:br/>
              <w:t>Outstanding</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br/>
              <w:t>(in thousands)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2"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54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0"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54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Options expired/forfeited/cancelled</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0"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91" w:type="dxa"/>
            <w:tcBorders/>
            <w:shd w:fill="FFFFFF" w:val="cle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December 31, 2023</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2"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Options exercisable and expected to vest </w:t>
              <w:br/>
              <w:t>     at December 31, 2023</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5626" w:type="dxa"/>
        <w:jc w:val="left"/>
        <w:tblInd w:w="0" w:type="dxa"/>
        <w:tblLayout w:type="fixed"/>
        <w:tblCellMar>
          <w:top w:w="28" w:type="dxa"/>
          <w:left w:w="28" w:type="dxa"/>
          <w:bottom w:w="28" w:type="dxa"/>
          <w:right w:w="28" w:type="dxa"/>
        </w:tblCellMar>
      </w:tblPr>
      <w:tblGrid>
        <w:gridCol w:w="2596"/>
        <w:gridCol w:w="146"/>
        <w:gridCol w:w="234"/>
        <w:gridCol w:w="772"/>
        <w:gridCol w:w="166"/>
        <w:gridCol w:w="146"/>
        <w:gridCol w:w="397"/>
        <w:gridCol w:w="878"/>
        <w:gridCol w:w="2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RSUs </w:t>
              <w:b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 Value</w:t>
              <w:br/>
              <w:t>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5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RSUs forfeited</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9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RSUs vested</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9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summary of activity of the 2012 Plan, and the 2018 inducement option (which was issued to a Lineage executive outside of all equity plans), is as follows (in thousands, except per share amounts):</w:t>
      </w:r>
    </w:p>
    <w:p>
      <w:pPr>
        <w:pStyle w:val="TextBody"/>
        <w:bidi w:val="0"/>
        <w:jc w:val="both"/>
        <w:rPr/>
      </w:pPr>
      <w:r>
        <w:rPr/>
        <w:t> </w:t>
      </w:r>
    </w:p>
    <w:tbl>
      <w:tblPr>
        <w:tblW w:w="10154" w:type="dxa"/>
        <w:jc w:val="left"/>
        <w:tblInd w:w="0" w:type="dxa"/>
        <w:tblLayout w:type="fixed"/>
        <w:tblCellMar>
          <w:top w:w="28" w:type="dxa"/>
          <w:left w:w="28" w:type="dxa"/>
          <w:bottom w:w="28" w:type="dxa"/>
          <w:right w:w="28" w:type="dxa"/>
        </w:tblCellMar>
      </w:tblPr>
      <w:tblGrid>
        <w:gridCol w:w="3541"/>
        <w:gridCol w:w="146"/>
        <w:gridCol w:w="199"/>
        <w:gridCol w:w="926"/>
        <w:gridCol w:w="166"/>
        <w:gridCol w:w="146"/>
        <w:gridCol w:w="350"/>
        <w:gridCol w:w="775"/>
        <w:gridCol w:w="146"/>
        <w:gridCol w:w="146"/>
        <w:gridCol w:w="250"/>
        <w:gridCol w:w="800"/>
        <w:gridCol w:w="146"/>
        <w:gridCol w:w="146"/>
        <w:gridCol w:w="534"/>
        <w:gridCol w:w="1446"/>
        <w:gridCol w:w="2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Options </w:t>
              <w:br/>
              <w:t>Outstanding</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br/>
              <w:t>(in thousands)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54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0"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54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Options expired/forfeited/cancelled</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0"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291" w:type="dxa"/>
            <w:tcBorders/>
            <w:shd w:fill="FFFFFF" w:val="cle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December 31, 2023</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291" w:type="dxa"/>
            <w:tcBorders/>
            <w:shd w:fill="CFF0FC"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Options exercisable and expected to vest </w:t>
              <w:br/>
              <w:t>     at December 31, 2023</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2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Stock-based compensation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each option award is estimated on the date of grant using a Black-Scholes option pricing model applying the weighted-average assumptions noted in the following table:</w:t>
      </w:r>
    </w:p>
    <w:p>
      <w:pPr>
        <w:pStyle w:val="TextBody"/>
        <w:bidi w:val="0"/>
        <w:jc w:val="both"/>
        <w:rPr/>
      </w:pPr>
      <w:r>
        <w:rPr/>
        <w:t> </w:t>
      </w:r>
    </w:p>
    <w:tbl>
      <w:tblPr>
        <w:tblW w:w="4420" w:type="dxa"/>
        <w:jc w:val="left"/>
        <w:tblInd w:w="0" w:type="dxa"/>
        <w:tblLayout w:type="fixed"/>
        <w:tblCellMar>
          <w:top w:w="28" w:type="dxa"/>
          <w:left w:w="28" w:type="dxa"/>
          <w:bottom w:w="28" w:type="dxa"/>
          <w:right w:w="28" w:type="dxa"/>
        </w:tblCellMar>
      </w:tblPr>
      <w:tblGrid>
        <w:gridCol w:w="1996"/>
        <w:gridCol w:w="146"/>
        <w:gridCol w:w="174"/>
        <w:gridCol w:w="558"/>
        <w:gridCol w:w="324"/>
        <w:gridCol w:w="174"/>
        <w:gridCol w:w="174"/>
        <w:gridCol w:w="558"/>
        <w:gridCol w:w="316"/>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32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316" w:type="dxa"/>
            <w:tcBorders/>
            <w:shd w:fill="CFF0FC"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3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color w:val="000000"/>
              </w:rPr>
            </w:pPr>
            <w:r>
              <w:rPr>
                <w:color w:val="000000"/>
              </w:rPr>
              <w:t>—</w:t>
            </w:r>
          </w:p>
        </w:tc>
        <w:tc>
          <w:tcPr>
            <w:tcW w:w="32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Operating expenses include stock-based compensation expense as follows (in thousands):</w:t>
      </w:r>
    </w:p>
    <w:p>
      <w:pPr>
        <w:pStyle w:val="TextBody"/>
        <w:bidi w:val="0"/>
        <w:jc w:val="both"/>
        <w:rPr/>
      </w:pPr>
      <w:r>
        <w:rPr/>
        <w:t> </w:t>
      </w:r>
    </w:p>
    <w:tbl>
      <w:tblPr>
        <w:tblW w:w="6150" w:type="dxa"/>
        <w:jc w:val="left"/>
        <w:tblInd w:w="0" w:type="dxa"/>
        <w:tblLayout w:type="fixed"/>
        <w:tblCellMar>
          <w:top w:w="28" w:type="dxa"/>
          <w:left w:w="28" w:type="dxa"/>
          <w:bottom w:w="28" w:type="dxa"/>
          <w:right w:w="28" w:type="dxa"/>
        </w:tblCellMar>
      </w:tblPr>
      <w:tblGrid>
        <w:gridCol w:w="3651"/>
        <w:gridCol w:w="146"/>
        <w:gridCol w:w="223"/>
        <w:gridCol w:w="604"/>
        <w:gridCol w:w="154"/>
        <w:gridCol w:w="154"/>
        <w:gridCol w:w="223"/>
        <w:gridCol w:w="604"/>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4,640</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As of December 31, 2023, total unrecognized compensation costs related to unvested stock options and unvested RSUs under all equity plans (including the 2018 inducement option), were $8.6 million, which is expected to be recognized as expense over a weighted average period of approximately 2.5 years. For the years ended December 31, 2023 and 2022, the weighted average grant-date fair value per share of options granted during the year under the 2021 Plan was $1.00 and $0.93, respectively. For the year ended December 31, 2022, the weighted average grant-date fair value per share of RSUs granted during the year under the 2021 Plan was $1.12. No RSUs were granted in the year ended December 31, 2023. The total intrinsic value of options exercised during the years ended December 31, 2023 and 2022 was $38,000 and $367,000, respectively. The fair value of the options vested during the years ended December 31, 2023 and 2022 was $3,947,000 and $4,122,000, respectively.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13.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year ended December 31, 2023, Lineage recorded a $1.8 million deferred tax benefit, due to the ability to offset certain deferred tax assets against the deferred tax liability associated with IPR&amp;D, and the related release of the valuation allowance. It was determined that a portion of the deferred tax liability related to the indefinite lived assets may be realized prior to the expiration of certain pre 2018 net operating losses. For the year ended December 31, 2022, Lineage did not record a tax provision or deferred tax benefit.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year ended December 31, 2022, Lineage recorded a withholding tax of $0.5 million on interest expense deemed paid to Lineage from Cell Cure on the purchase of intellectual property pursuant to the U.S. Israeli tax treaty. There was no comparable tax expense for the year ended December 31,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domestic and foreign breakout of loss before net income tax benefit was as follows:</w:t>
      </w:r>
    </w:p>
    <w:p>
      <w:pPr>
        <w:pStyle w:val="TextBody"/>
        <w:bidi w:val="0"/>
        <w:jc w:val="both"/>
        <w:rPr/>
      </w:pPr>
      <w:r>
        <w:rPr/>
        <w:t> </w:t>
      </w:r>
    </w:p>
    <w:tbl>
      <w:tblPr>
        <w:tblW w:w="5874" w:type="dxa"/>
        <w:jc w:val="left"/>
        <w:tblInd w:w="0" w:type="dxa"/>
        <w:tblLayout w:type="fixed"/>
        <w:tblCellMar>
          <w:top w:w="28" w:type="dxa"/>
          <w:left w:w="28" w:type="dxa"/>
          <w:bottom w:w="28" w:type="dxa"/>
          <w:right w:w="28" w:type="dxa"/>
        </w:tblCellMar>
      </w:tblPr>
      <w:tblGrid>
        <w:gridCol w:w="3111"/>
        <w:gridCol w:w="146"/>
        <w:gridCol w:w="211"/>
        <w:gridCol w:w="736"/>
        <w:gridCol w:w="166"/>
        <w:gridCol w:w="146"/>
        <w:gridCol w:w="211"/>
        <w:gridCol w:w="736"/>
        <w:gridCol w:w="411"/>
      </w:tblGrid>
      <w:tr>
        <w:trPr/>
        <w:tc>
          <w:tcPr>
            <w:tcW w:w="3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(22,961</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before net income tax benefit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Income taxes differed from the amounts computed by applying the indicated current U.S. federal income tax rate to pretax losses from operations as a result of the following:</w:t>
      </w:r>
    </w:p>
    <w:p>
      <w:pPr>
        <w:pStyle w:val="TextBody"/>
        <w:bidi w:val="0"/>
        <w:jc w:val="both"/>
        <w:rPr/>
      </w:pPr>
      <w:r>
        <w:rPr/>
        <w:t> </w:t>
      </w:r>
    </w:p>
    <w:tbl>
      <w:tblPr>
        <w:tblW w:w="6311" w:type="dxa"/>
        <w:jc w:val="left"/>
        <w:tblInd w:w="0" w:type="dxa"/>
        <w:tblLayout w:type="fixed"/>
        <w:tblCellMar>
          <w:top w:w="28" w:type="dxa"/>
          <w:left w:w="28" w:type="dxa"/>
          <w:bottom w:w="28" w:type="dxa"/>
          <w:right w:w="28" w:type="dxa"/>
        </w:tblCellMar>
      </w:tblPr>
      <w:tblGrid>
        <w:gridCol w:w="3796"/>
        <w:gridCol w:w="146"/>
        <w:gridCol w:w="191"/>
        <w:gridCol w:w="493"/>
        <w:gridCol w:w="434"/>
        <w:gridCol w:w="191"/>
        <w:gridCol w:w="191"/>
        <w:gridCol w:w="493"/>
        <w:gridCol w:w="376"/>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c>
          <w:tcPr>
            <w:tcW w:w="6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Computed tax benefit at federal statutory rate</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4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4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and other credits</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tax</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493" w:type="dxa"/>
            <w:tcBorders/>
            <w:shd w:fill="CFF0FC" w:val="clear"/>
            <w:vAlign w:val="center"/>
          </w:tcPr>
          <w:p>
            <w:pPr>
              <w:pStyle w:val="TableContents"/>
              <w:bidi w:val="0"/>
              <w:spacing w:before="0" w:after="283"/>
              <w:jc w:val="right"/>
              <w:rPr>
                <w:color w:val="000000"/>
              </w:rPr>
            </w:pPr>
            <w:r>
              <w:rPr>
                <w:color w:val="000000"/>
              </w:rPr>
              <w:t>—</w:t>
            </w:r>
          </w:p>
        </w:tc>
        <w:tc>
          <w:tcPr>
            <w:tcW w:w="4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4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differences</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4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4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 benefit</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GILTI inclusion</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4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4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vAlign w:val="center"/>
          </w:tcPr>
          <w:p>
            <w:pPr>
              <w:pStyle w:val="TableContents"/>
              <w:bidi w:val="0"/>
              <w:spacing w:before="0" w:after="283"/>
              <w:jc w:val="left"/>
              <w:rPr/>
            </w:pPr>
            <w:r>
              <w:rPr/>
              <w:t> </w:t>
            </w:r>
          </w:p>
        </w:tc>
        <w:tc>
          <w:tcPr>
            <w:tcW w:w="1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9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3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c>
          <w:tcPr>
            <w:tcW w:w="1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9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primary components of the deferred tax assets and liabilities at December 31, 2023 and 2022 were as follows (in thousands):</w:t>
      </w:r>
    </w:p>
    <w:p>
      <w:pPr>
        <w:pStyle w:val="TextBody"/>
        <w:bidi w:val="0"/>
        <w:jc w:val="both"/>
        <w:rPr/>
      </w:pPr>
      <w:r>
        <w:rPr/>
        <w:t> </w:t>
      </w:r>
    </w:p>
    <w:tbl>
      <w:tblPr>
        <w:tblW w:w="7640" w:type="dxa"/>
        <w:jc w:val="left"/>
        <w:tblInd w:w="0" w:type="dxa"/>
        <w:tblLayout w:type="fixed"/>
        <w:tblCellMar>
          <w:top w:w="28" w:type="dxa"/>
          <w:left w:w="28" w:type="dxa"/>
          <w:bottom w:w="28" w:type="dxa"/>
          <w:right w:w="28" w:type="dxa"/>
        </w:tblCellMar>
      </w:tblPr>
      <w:tblGrid>
        <w:gridCol w:w="3871"/>
        <w:gridCol w:w="146"/>
        <w:gridCol w:w="334"/>
        <w:gridCol w:w="1166"/>
        <w:gridCol w:w="166"/>
        <w:gridCol w:w="146"/>
        <w:gridCol w:w="334"/>
        <w:gridCol w:w="1166"/>
        <w:gridCol w:w="31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Deferred tax assets/(liabilities):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8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58,816</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8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 and other credits</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10,463</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8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Patents and licenses</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8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8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color w:val="000000"/>
              </w:rPr>
            </w:pPr>
            <w:r>
              <w:rPr>
                <w:color w:val="000000"/>
              </w:rPr>
              <w:t>—</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8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Capitalized research expense</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8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78,708</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8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(78,209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 net of valuation allowance</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311" w:type="dxa"/>
            <w:tcBorders/>
            <w:shd w:fill="FFFFFF" w:val="cle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ind w:left="0" w:right="0" w:firstLine="100"/>
              <w:jc w:val="right"/>
              <w:rPr/>
            </w:pPr>
            <w:r>
              <w:rPr/>
              <w:t> </w:t>
            </w:r>
          </w:p>
        </w:tc>
      </w:tr>
      <w:tr>
        <w:trPr/>
        <w:tc>
          <w:tcPr>
            <w:tcW w:w="38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lease ROU assets</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Intangibles</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Marketable securities at fair value</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right"/>
              <w:rPr/>
            </w:pPr>
            <w:r>
              <w:rPr/>
              <w:t> </w:t>
            </w:r>
          </w:p>
        </w:tc>
      </w:tr>
      <w:tr>
        <w:trPr/>
        <w:tc>
          <w:tcPr>
            <w:tcW w:w="38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liabilities</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Lineage has established an accrual for uncertain tax positions related to its U.S. research and development credits. As of December 31, 2023 and 2022, there was no accrued interest related to uncertain tax positions. Lineage does not believe it is reasonably possible that its unrecognized tax benefits will significantly change in the next twelve months. A reconciliation of beginning and ending balances for unrecognized tax benefits is as follows (in thousands):</w:t>
      </w:r>
    </w:p>
    <w:p>
      <w:pPr>
        <w:pStyle w:val="TextBody"/>
        <w:bidi w:val="0"/>
        <w:spacing w:before="40" w:after="283"/>
        <w:jc w:val="both"/>
        <w:rPr/>
      </w:pPr>
      <w:r>
        <w:rPr/>
        <w:t> </w:t>
      </w:r>
    </w:p>
    <w:tbl>
      <w:tblPr>
        <w:tblW w:w="6941" w:type="dxa"/>
        <w:jc w:val="left"/>
        <w:tblInd w:w="0" w:type="dxa"/>
        <w:tblLayout w:type="fixed"/>
        <w:tblCellMar>
          <w:top w:w="28" w:type="dxa"/>
          <w:left w:w="28" w:type="dxa"/>
          <w:bottom w:w="28" w:type="dxa"/>
          <w:right w:w="28" w:type="dxa"/>
        </w:tblCellMar>
      </w:tblPr>
      <w:tblGrid>
        <w:gridCol w:w="4511"/>
        <w:gridCol w:w="146"/>
        <w:gridCol w:w="258"/>
        <w:gridCol w:w="698"/>
        <w:gridCol w:w="178"/>
        <w:gridCol w:w="178"/>
        <w:gridCol w:w="258"/>
        <w:gridCol w:w="423"/>
        <w:gridCol w:w="291"/>
      </w:tblGrid>
      <w:tr>
        <w:trPr/>
        <w:tc>
          <w:tcPr>
            <w:tcW w:w="4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vAlign w:val="center"/>
          </w:tcPr>
          <w:p>
            <w:pPr>
              <w:pStyle w:val="TableContents"/>
              <w:bidi w:val="0"/>
              <w:spacing w:before="0" w:after="283"/>
              <w:jc w:val="center"/>
              <w:rPr/>
            </w:pPr>
            <w:r>
              <w:rPr/>
              <w:t> </w:t>
            </w:r>
          </w:p>
        </w:tc>
        <w:tc>
          <w:tcPr>
            <w:tcW w:w="6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period</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vAlign w:val="center"/>
          </w:tcPr>
          <w:p>
            <w:pPr>
              <w:pStyle w:val="TableContents"/>
              <w:bidi w:val="0"/>
              <w:spacing w:before="0" w:after="283"/>
              <w:jc w:val="right"/>
              <w:rPr>
                <w:color w:val="000000"/>
              </w:rPr>
            </w:pPr>
            <w:r>
              <w:rPr>
                <w:color w:val="000000"/>
              </w:rPr>
              <w:t>—</w:t>
            </w:r>
          </w:p>
        </w:tc>
        <w:tc>
          <w:tcPr>
            <w:tcW w:w="178"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3"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5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Additions for tax positions related to the current year</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78"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5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Additions for tax positions related to prior years</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w:t>
            </w:r>
          </w:p>
        </w:tc>
        <w:tc>
          <w:tcPr>
            <w:tcW w:w="178"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5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Reductions for tax positions related to prior years</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78"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5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Reductions related to settlements</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color w:val="000000"/>
              </w:rPr>
            </w:pPr>
            <w:r>
              <w:rPr>
                <w:color w:val="000000"/>
              </w:rPr>
              <w:t>—</w:t>
            </w:r>
          </w:p>
        </w:tc>
        <w:tc>
          <w:tcPr>
            <w:tcW w:w="178"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5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Reductions related to a lapse of statute</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period</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Under ASC 740, a valuation allowance is provided when it is more likely than not that some portion of the deferred tax assets will not be realized. Lineage established a full valuation allowance as of December 31, 2018 due to the uncertainty of realizing future tax benefits from its net operating loss carryforwards and other deferred tax assets, including foreign net operating losses generated by its subsidiaries.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and 2022, Lineage had gross federal net operating loss carryforwards, of approximately $163.1 million and $150.6 million, respectively. The pre-2018 federal net operating loss carryforwards expire in varying amounts between 2030 and 2037. The post-2017 federal net operating loss carryforwards can be carried forward indefinitely and can only offset 80 percent of taxable income. As of December 31, 2023 and 2022, Lineage’s foreign subsidiaries had net operating loss carryforwards of approximately $64.8 and $66.6 million, respectively, which carryforward indefinitely.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and 2022, Lineage has net operating losses of $188.8 million and $160.2 million, respectively for state tax purposes. The California net operating losses expire in varying amounts between 2030 and 2043.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and 2022, Lineage had research tax credit carryforwards for federal tax purposes of $4.3 million and $4.5 million, respectively. These tax credits reflect the amounts for Lineage and its’ domestic subsidiaries. For federal purposes, the credits generated each year have a carryforward period of 20 years. The federal tax credits expire in varying amounts between 2023 and 2043.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and 2022, Lineage had research tax credit carryforwards for California tax purposes of $4.6 million and $6.0 million, respectively. These tax credits reflect the amounts for Lineage and its’ domestic subsidiaries. The state tax credits have no expiration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December 17, 2021, Lineage and its subsidiary, Cell Cure, entered into a Collaboration and License Agreement with Roche, wherein Lineage granted to Roche exclusive worldwide rights to develop and commercialize RPE cell therapies. Under the agreement Roche paid Lineage a $50.0 million upfront payment, which was received in January of 2022. See Note 14 (Commitments and Contingencies)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tax years beginning on or after January 1, 2022, the Tax Cuts and Jobs Act of 2017 (“TCJA”) eliminates the option to currently deduct research and development expenses and requires taxpayers to capitalize and amortize them over five years for research activities performed in the United States and 15 years for research activities performed outside the United States pursuant to IRC Section 174. Although Congress is considering legislation that would repeal and defer this capitalization and amortization requirement for research activities performed in the United States, it is not certain that this provision will be repealed or otherwise modified. If the requirement is not repealed or replaced, it will continue to defer our tax deduction for research and development expense in future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December 2021, in an intercompany transaction, Lineage acquired the economic rights to Cell Cure’s interest in certain intellectual property. This transaction generated a gain to Cell Cure of $31.7 million which was fully offset by net operating loss carryforwards in Israel. For book and California income tax purposes, this transaction eliminates in consolidation. For federal income tax purposes, the activities of our foreign subsidiaries are not included in the consolidated tax return. However, under the regulations related to global intangible low-taxed income (“GILTI”), the profits of our foreign subsidiaries may be included, see further discussion below.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2017 Tax Act subjects a U.S. stockholder to GILTI earned by certain foreign subsidiaries. In general, GILTI is the excess of a U.S. stockholder’s total net foreign income over a deemed return on tangible assets. The provision further allows a deduction of 50% of GILTI, however this deduction is limited to the company’s pre-GILTI U.S. income. For the years ended December 31, 2023 and 2022, Lineage’s combined foreign entities generated a profit arising from intercompany transactions. As a result, there was an inclusion of $1.1 million and $1.7 million for GILTI purposes for 2023 and 2022, respectively. The resulting net income for federal income tax purposes was fully offset by their federal net operating loss carryforwards.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Income Tax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Internal Revenue Code Section 382 places a limitation (“Section 382 Limitation”) on the amount of taxable income that can be offset by NOL carryforwards after a change in control (generally greater than 50% change in ownership within a three-year period) of a loss corporation. California has similar rules. Generally, after a change in control, a loss corporation cannot deduct NOL carryforwards in excess of the Section 382 Limitation. Due to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r>
        <w:rPr>
          <w:rFonts w:ascii="Times New Roman" w:hAnsi="Times New Roman"/>
          <w:color w:val="000000"/>
          <w:sz w:val="20"/>
        </w:rPr>
        <w:t>change in ownership” provisions, utilization of the NOL and tax credit carryforwards may be subject to an annual limitation regarding their utilization against taxable income in future periods.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Lineage files a U.S. federal income tax return as well as a California combined and foreign income tax returns. In general, Lineage is no longer subject to tax examination by major taxing authorities for years before 2019. Although the statute is closed for purposes of assessing additional income and tax in these years, the taxing authorities may still make adjustments to the NOL and credit carryforwards used in open years. Therefore, the statute should be considered open as it relates to the NOL and credit carryforwards used in open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Lineage may be subject to potential examination by U.S. federal, U.S. states or foreign jurisdiction authorities in the areas of income taxes. These potential examinations may include questioning the timing and amount of deductions, the nexus of income among various tax jurisdictions and compliance with U.S. federal, U.S. state and foreign tax laws. Based on Lineage’s assessment, no liabilities for uncertain tax positions should be recorded as of December 31, 2023 and 2022. Lineage’s management does not expect that the total amount of unrecognized tax benefits will materially change over the next twelve months.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Lineage’s practice is to recognize interest and penalties related to income tax matters in tax expense. As of December 31, 2023 and 2022, Lineage has no accrued interest and penalties.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14. Commitments and Contingencies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Real Property Leases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Carlsbad Lease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2019, Lineage entered into a lease for approximately 8,841 square feet of rentable space in an office park in Carlsbad, California. The lease was amended in December 2022 and the term was extended for a period of thirty-seven months (the “Extended Term”) commencing on March 1, 2023 (the “Extended Term Commencement Date”). The lease expires on March 31, 2026, and rent was abated for months two through four of the Extended Term. The monthly base rent was $24,666 through the Extended Term Commencement Date, after which it increased to $25,197. As security for the performance of its obligations under the lease, Lineage provided the landlord a security deposit of $17,850, which is included in deposits and other long-term assets on the consolidated balance sheet as of December 31,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base rent, Lineage pays a pro-rata portion of increases in certain expenses, including real property taxes, utilities (to the extent not separately metered to the leased space) and the landlord’s operating expenses, over the amounts of those expenses incurred by the landlord. These pro-rata charges are expensed as incurred and excluded from the calculation of the ROU assets and lease liabilities.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Carlsbad Sublease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September 2022, Lineage entered into a sublease for approximately 4,500 square feet of rentable industrial space in Carlsbad, California for a term that commenced on October 1, 2022 and expires on March 31, 2024. As security for the performance of its obligations under the sublease, Lineage provided the landlord with a security deposit of $22,500, which is included in prepaid expense and other current assets on the consolidated balance sheet as of December 31, 2023. Base rent is $22,500 per month until the lease expires. In February 2024, Lineage and the landlord executed an agreement to extend the duration of the term of the sublease for an additional 24 months on similar terms.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Cell Cure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Cell Cure leases 728.5 square meters (approximately 7,842 square feet) of office and laboratory space in Jerusalem, Israel under a lease that expires December 31, 2027, with an option to extend the lease for five years. Base monthly rent is NIS 39,776 (approximately $12,200 per month). In addition to base rent, Cell Cure pays a pro-rata share of real property taxes and certain costs related to the operation and maintenance of the building in which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leased premises are located. These pro-rata charges are expensed as incurred and excluded from the calculation of the ROU assets and lease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January 2018, Cell Cure entered into a lease for an additional 934 square meters (approximately 10,054 square feet) of office space in the same facility that expires on December 31, 2027, with an option to extend the lease for five years. Base rent and construction allowance payments are NIS 93,827 per month (approximately $26,000 per month). Cell Cure has a security deposit denominated in NIS with the landlord held as restricted cash during the term of its facility lease. The value of this security deposit in U.S. dollars fluctuates based upon currency exchange rates and was $450,000 as of December 31, 2023, which is included in deposits and other long-term assets on the consolidated balance sheet.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2021, Cell Cure entered into a lease for an additional 133 square meters (approximately 1,432 square feet) of office space in the same facility that commenced on December 1, 2021, and expires on December 31, 2027, with an option to extend the lease for five years. The base monthly rent was NIS 11,880 (approximately US $3,757) through October 31, 2022 and increased to NIS 12,494 (approximately US $3,951) on November 1, 2022.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August 2022, Cell Cure entered into a lease for 300 square meters (approximately 3,229 square feet) of office and laboratory space in Jerusalem, Israel that expires December 31, 2027, with an option to extend the lease for five years. Base monthly rent is 16,350 NIS (approximately $4,800 per month). When executing this lease, Cell Cure modified the expiration dates and options terms for the leases identified above to align with this lease. The adjustment to the right-of-use asset and lease liability to reflect the lease modification for the 2-year extension was $0.7 million, while the additional right-of-use asset and lease liability recorded for the new lease was $0.2 million.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Supplemental Information –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Supplemental cash flow information related to leases is as follows (in thousands):</w:t>
      </w:r>
    </w:p>
    <w:p>
      <w:pPr>
        <w:pStyle w:val="TextBody"/>
        <w:bidi w:val="0"/>
        <w:jc w:val="left"/>
        <w:rPr/>
      </w:pPr>
      <w:r>
        <w:rPr/>
        <w:t> </w:t>
      </w:r>
    </w:p>
    <w:tbl>
      <w:tblPr>
        <w:tblW w:w="8592" w:type="dxa"/>
        <w:jc w:val="left"/>
        <w:tblInd w:w="0" w:type="dxa"/>
        <w:tblLayout w:type="fixed"/>
        <w:tblCellMar>
          <w:top w:w="28" w:type="dxa"/>
          <w:left w:w="28" w:type="dxa"/>
          <w:bottom w:w="28" w:type="dxa"/>
          <w:right w:w="28" w:type="dxa"/>
        </w:tblCellMar>
      </w:tblPr>
      <w:tblGrid>
        <w:gridCol w:w="6061"/>
        <w:gridCol w:w="146"/>
        <w:gridCol w:w="226"/>
        <w:gridCol w:w="614"/>
        <w:gridCol w:w="157"/>
        <w:gridCol w:w="157"/>
        <w:gridCol w:w="226"/>
        <w:gridCol w:w="614"/>
        <w:gridCol w:w="391"/>
      </w:tblGrid>
      <w:tr>
        <w:trPr/>
        <w:tc>
          <w:tcPr>
            <w:tcW w:w="6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0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paid for amounts included in the measurement of lease liabilities:</w:t>
            </w:r>
          </w:p>
        </w:tc>
        <w:tc>
          <w:tcPr>
            <w:tcW w:w="146" w:type="dxa"/>
            <w:tcBorders/>
            <w:shd w:fill="CFF0FC" w:val="clear"/>
            <w:vAlign w:val="center"/>
          </w:tcPr>
          <w:p>
            <w:pPr>
              <w:pStyle w:val="TableContents"/>
              <w:bidi w:val="0"/>
              <w:spacing w:before="0" w:after="283"/>
              <w:jc w:val="left"/>
              <w:rPr/>
            </w:pPr>
            <w:r>
              <w:rPr/>
              <w:t> </w:t>
            </w:r>
          </w:p>
        </w:tc>
        <w:tc>
          <w:tcPr>
            <w:tcW w:w="840" w:type="dxa"/>
            <w:gridSpan w:val="2"/>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840"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0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0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0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1" w:type="dxa"/>
            <w:tcBorders/>
            <w:shd w:fill="FFFFFF" w:val="clear"/>
            <w:vAlign w:val="center"/>
          </w:tcPr>
          <w:p>
            <w:pPr>
              <w:pStyle w:val="TableContents"/>
              <w:bidi w:val="0"/>
              <w:spacing w:before="0" w:after="283"/>
              <w:ind w:left="0" w:right="0" w:firstLine="40"/>
              <w:jc w:val="left"/>
              <w:rPr/>
            </w:pPr>
            <w:r>
              <w:rPr/>
              <w:t> </w:t>
            </w:r>
          </w:p>
        </w:tc>
      </w:tr>
      <w:tr>
        <w:trPr/>
        <w:tc>
          <w:tcPr>
            <w:tcW w:w="6061" w:type="dxa"/>
            <w:tcBorders/>
            <w:shd w:fill="FFFFFF" w:val="clear"/>
            <w:vAlign w:val="center"/>
          </w:tcPr>
          <w:p>
            <w:pPr>
              <w:pStyle w:val="TableContents"/>
              <w:bidi w:val="0"/>
              <w:spacing w:before="0" w:after="283"/>
              <w:ind w:left="40" w:right="0" w:firstLine="4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0" w:type="dxa"/>
            <w:gridSpan w:val="2"/>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84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60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Right-of-use assets obtained in exchange for lease obligations:</w:t>
            </w:r>
          </w:p>
        </w:tc>
        <w:tc>
          <w:tcPr>
            <w:tcW w:w="146" w:type="dxa"/>
            <w:tcBorders/>
            <w:shd w:fill="CFF0FC" w:val="clear"/>
            <w:vAlign w:val="center"/>
          </w:tcPr>
          <w:p>
            <w:pPr>
              <w:pStyle w:val="TableContents"/>
              <w:bidi w:val="0"/>
              <w:spacing w:before="0" w:after="283"/>
              <w:jc w:val="left"/>
              <w:rPr/>
            </w:pPr>
            <w:r>
              <w:rPr/>
              <w:t> </w:t>
            </w:r>
          </w:p>
        </w:tc>
        <w:tc>
          <w:tcPr>
            <w:tcW w:w="840" w:type="dxa"/>
            <w:gridSpan w:val="2"/>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left"/>
              <w:rPr/>
            </w:pPr>
            <w:r>
              <w:rPr/>
              <w:t> </w:t>
            </w:r>
          </w:p>
        </w:tc>
        <w:tc>
          <w:tcPr>
            <w:tcW w:w="84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60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vAlign w:val="center"/>
          </w:tcPr>
          <w:p>
            <w:pPr>
              <w:pStyle w:val="TableContents"/>
              <w:bidi w:val="0"/>
              <w:spacing w:before="0" w:after="283"/>
              <w:jc w:val="right"/>
              <w:rPr>
                <w:color w:val="000000"/>
              </w:rPr>
            </w:pPr>
            <w:r>
              <w:rPr>
                <w:color w:val="000000"/>
              </w:rPr>
              <w:t>—</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0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Supplemental balance sheet information related to leases was as follows (in thousands, except lease term and discount rate):</w:t>
      </w:r>
    </w:p>
    <w:p>
      <w:pPr>
        <w:pStyle w:val="TextBody"/>
        <w:bidi w:val="0"/>
        <w:jc w:val="both"/>
        <w:rPr/>
      </w:pPr>
      <w:r>
        <w:rPr/>
        <w:t> </w:t>
      </w:r>
    </w:p>
    <w:tbl>
      <w:tblPr>
        <w:tblW w:w="7745" w:type="dxa"/>
        <w:jc w:val="left"/>
        <w:tblInd w:w="0" w:type="dxa"/>
        <w:tblLayout w:type="fixed"/>
        <w:tblCellMar>
          <w:top w:w="28" w:type="dxa"/>
          <w:left w:w="28" w:type="dxa"/>
          <w:bottom w:w="28" w:type="dxa"/>
          <w:right w:w="28" w:type="dxa"/>
        </w:tblCellMar>
      </w:tblPr>
      <w:tblGrid>
        <w:gridCol w:w="3591"/>
        <w:gridCol w:w="146"/>
        <w:gridCol w:w="376"/>
        <w:gridCol w:w="1124"/>
        <w:gridCol w:w="271"/>
        <w:gridCol w:w="146"/>
        <w:gridCol w:w="376"/>
        <w:gridCol w:w="1124"/>
        <w:gridCol w:w="591"/>
      </w:tblGrid>
      <w:tr>
        <w:trPr/>
        <w:tc>
          <w:tcPr>
            <w:tcW w:w="3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leases</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5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5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amortization</w:t>
            </w:r>
          </w:p>
        </w:tc>
        <w:tc>
          <w:tcPr>
            <w:tcW w:w="146" w:type="dxa"/>
            <w:tcBorders/>
            <w:shd w:fill="CFF0FC" w:val="cle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 net</w:t>
            </w:r>
          </w:p>
        </w:tc>
        <w:tc>
          <w:tcPr>
            <w:tcW w:w="146" w:type="dxa"/>
            <w:tcBorders/>
            <w:shd w:fill="FFFFFF" w:val="cle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3591" w:type="dxa"/>
            <w:tcBorders/>
            <w:shd w:fill="FFFFFF" w:val="clear"/>
            <w:vAlign w:val="center"/>
          </w:tcPr>
          <w:p>
            <w:pPr>
              <w:pStyle w:val="TableContents"/>
              <w:bidi w:val="0"/>
              <w:spacing w:before="0" w:after="283"/>
              <w:ind w:left="40" w:right="0" w:firstLine="4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5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lease liabilities, current</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5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lease liabilities, noncurrent</w:t>
            </w:r>
          </w:p>
        </w:tc>
        <w:tc>
          <w:tcPr>
            <w:tcW w:w="146" w:type="dxa"/>
            <w:tcBorders/>
            <w:shd w:fill="FFFFFF" w:val="cle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9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35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Finance leases</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5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5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amortization</w:t>
            </w:r>
          </w:p>
        </w:tc>
        <w:tc>
          <w:tcPr>
            <w:tcW w:w="146" w:type="dxa"/>
            <w:tcBorders/>
            <w:shd w:fill="FFFFFF" w:val="cle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 net</w:t>
            </w:r>
          </w:p>
        </w:tc>
        <w:tc>
          <w:tcPr>
            <w:tcW w:w="146" w:type="dxa"/>
            <w:tcBorders/>
            <w:shd w:fill="CFF0FC" w:val="cle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3591" w:type="dxa"/>
            <w:tcBorders/>
            <w:shd w:fill="FFFFFF" w:val="clear"/>
            <w:vAlign w:val="center"/>
          </w:tcPr>
          <w:p>
            <w:pPr>
              <w:pStyle w:val="TableContents"/>
              <w:bidi w:val="0"/>
              <w:spacing w:before="0" w:after="283"/>
              <w:ind w:left="40" w:right="0" w:firstLine="4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5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lease liabilities, current</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5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lease liabilities, noncurrent</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5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9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finance lease liabilities</w:t>
            </w:r>
          </w:p>
        </w:tc>
        <w:tc>
          <w:tcPr>
            <w:tcW w:w="146" w:type="dxa"/>
            <w:tcBorders/>
            <w:shd w:fill="CFF0FC" w:val="cle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3591" w:type="dxa"/>
            <w:tcBorders/>
            <w:shd w:fill="FFFFFF" w:val="clear"/>
            <w:vAlign w:val="center"/>
          </w:tcPr>
          <w:p>
            <w:pPr>
              <w:pStyle w:val="TableContents"/>
              <w:bidi w:val="0"/>
              <w:spacing w:before="0" w:after="283"/>
              <w:ind w:left="40" w:right="0" w:firstLine="4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35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remaining lease term</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5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 years</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50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 years</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5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 years</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50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 years</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591"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35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discount rate</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5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7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76"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Future minimum lease commitments are as follows as of December 31, 2023 (in thousands):</w:t>
      </w:r>
    </w:p>
    <w:p>
      <w:pPr>
        <w:pStyle w:val="TextBody"/>
        <w:bidi w:val="0"/>
        <w:jc w:val="left"/>
        <w:rPr/>
      </w:pPr>
      <w:r>
        <w:rPr/>
        <w:t> </w:t>
      </w:r>
    </w:p>
    <w:tbl>
      <w:tblPr>
        <w:tblW w:w="6020" w:type="dxa"/>
        <w:jc w:val="left"/>
        <w:tblInd w:w="0" w:type="dxa"/>
        <w:tblLayout w:type="fixed"/>
        <w:tblCellMar>
          <w:top w:w="28" w:type="dxa"/>
          <w:left w:w="28" w:type="dxa"/>
          <w:bottom w:w="28" w:type="dxa"/>
          <w:right w:w="28" w:type="dxa"/>
        </w:tblCellMar>
      </w:tblPr>
      <w:tblGrid>
        <w:gridCol w:w="2401"/>
        <w:gridCol w:w="146"/>
        <w:gridCol w:w="367"/>
        <w:gridCol w:w="998"/>
        <w:gridCol w:w="166"/>
        <w:gridCol w:w="146"/>
        <w:gridCol w:w="394"/>
        <w:gridCol w:w="791"/>
        <w:gridCol w:w="61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146" w:type="dxa"/>
            <w:tcBorders/>
            <w:shd w:fill="CFF0FC" w:val="clear"/>
            <w:vAlign w:val="center"/>
          </w:tcPr>
          <w:p>
            <w:pPr>
              <w:pStyle w:val="TableContents"/>
              <w:bidi w:val="0"/>
              <w:spacing w:before="0" w:after="283"/>
              <w:jc w:val="left"/>
              <w:rPr/>
            </w:pPr>
            <w:r>
              <w:rPr/>
              <w:t> </w:t>
            </w:r>
          </w:p>
        </w:tc>
        <w:tc>
          <w:tcPr>
            <w:tcW w:w="136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24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24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24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24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240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vAlign w:val="center"/>
          </w:tcPr>
          <w:p>
            <w:pPr>
              <w:pStyle w:val="TableContents"/>
              <w:bidi w:val="0"/>
              <w:spacing w:before="0" w:after="283"/>
              <w:jc w:val="left"/>
              <w:rPr/>
            </w:pPr>
            <w:r>
              <w:rPr/>
              <w:t> </w:t>
            </w:r>
          </w:p>
        </w:tc>
        <w:tc>
          <w:tcPr>
            <w:tcW w:w="36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Collaborations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Roche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2021, Lineage entered into the Roche Agreement, wherein Lineage granted to Roche exclusive worldwide rights to develop and commercialize RPE cell therapies, including Lineage’s proprietary cell therapy known as OpRegen, for the treatment of ocular disorders, including GA secondary to AMD.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terms of the Roche Agreement, Roche paid Lineage a $50.0 million upfront payment and Lineage is eligible to receive up to an additional $620.0 million in developmental, regulatory and commercialization milestone payments. Lineage also is eligible for tiered double-digit percentage royalties on net sales of OpRegen in the U.S. and other major markets. All regulatory and commercial milestone payments and royalty payments are subject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existence of certain intellectual property rights that cover OpRegen at the time such payments would otherwise become due, and the royalty payments on net sales of OpRegen are subject to financial offsets based on the existence of competing products. Roche assumed responsibility for further clinical development and commercialization of OpRegen. Lineage is responsible for completing activities related to the ongoing clinical study, for which enrollment is complete, and performing certain manufacturing and process development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earlier terminated by either party, the Roche Agreement will expire on a product-by-product and country-by-country basis upon the expiration of all of Roche’s payment obligations under the agreement. Roche may terminate the agreement in its entirety, or on a product-by-product or country-by-country basis, at any time with advance written notice. Either party may terminate the agreement in its entirety with written notice for the other party’s material breach if such party fails to cure the breach or upon certain insolvency events involving the other party.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January 2022, Lineage received the $50.0 million upfront payment from Roche. Subsequently, Lineage, via Cell Cure, paid $12.1 million to the IIA, and $8.9 million to Hadasit Medical Research Services and Development Ltd. (“Hadasit”). Such payments were made in accordance with obligations under the Innovation Law (as discussed below) and under the terms of Cell Cure’s agreements with Hadasit (as discussed below). The payment to Hadasit was reduced by $1.9 million in accordance with the provisions of such agreements discussed below that reduce the sublicensing fee payable to Hadasit for costs related to Lineage’s performance obligations under the Roche Agreement. To the extent such costs are not incurred within five years after the execution of the Roche Agreement, Cell Cure will be required to pay Hadasit 21.5% of the amount of costs not incurred.</w:t>
      </w:r>
    </w:p>
    <w:p>
      <w:pPr>
        <w:pStyle w:val="TextBody"/>
        <w:bidi w:val="0"/>
        <w:spacing w:before="360" w:after="283"/>
        <w:jc w:val="both"/>
        <w:rPr>
          <w:rFonts w:ascii="Times New Roman" w:hAnsi="Times New Roman"/>
          <w:sz w:val="20"/>
        </w:rPr>
      </w:pPr>
      <w:r>
        <w:rPr>
          <w:rFonts w:ascii="Times New Roman" w:hAnsi="Times New Roman"/>
          <w:i/>
          <w:color w:val="000000"/>
          <w:sz w:val="20"/>
        </w:rPr>
        <w:t>ITI Collaboration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2021, Lineage entered into a collaborative agreement with ITI whereby Lineage agreed to perform up to approximately $2.2 million worth of certain research, development, manufacturing, and oversight activities related to the development of an allogeneic VAC-CMV product candidate. ITI will reimburse Lineage for these costs and full-time employee costs for the manufacturing of the VAC-CMV product candidate. As of December 31, 2023, Lineage has a remaining performance obligation of approximately $1.6 million for the aforementioned activities. Upon execution of the agreement in April 2021, $0.5 million was paid by ITI to Lineage. Upon delivery of research-grade VAC-CMV product generated by Lineage, ITI paid an additional $0.5 million in August 2021. ITI is currently evaluating its next step under the agreement.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Agreements with Hadasit and IIA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OpRegen program was supported in part with licenses to technology obtained from Hadasit, the technology transfer company of Hadassah Medical Center, and through a series of research grants from the IIA, an independent agency created to address the needs of global innovation ecosystems. A subset of the intellectual property underlying OpRegen was originally generated at Hadassah Medical Center and licensed to Cell Cure for further development.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Encouragement of Research, Development and Technological Innovation in the Industry Law 5744, and the regulations, guidelines, rules, procedures and benefit tracks thereunder (collectively, the “Innovation Law”), annual research and development programs that meet specified criteria and were approved by a committee of the IIA were eligible for grants. The grants awarded were typically up to 50% of the project’s expenditures, as determined by the IIA committee and subject to the benefit track under which the grant was awarded.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terms of the grants under the Innovation Law generally require that the products developed as part of the programs under which the grants were given be manufactured in Israel. The know-how developed thereunder may not be transferred outside of Israel unless prior written approval is received from the IIA. Transfer of IIA-funded know-how outside of Israel is subject to approval and payment of a redemption fee to the IIA calculated according to formulas provided under the Innovation Law. In November 2021, the IIA research committee approved an application made by Cell Cure with respect to the grant of an exclusive license and transfer of the technological know-how for OpRegen to Roche. Under the provisions for the redemption fee, Lineage paid the IIA approximately 24.1% of the upfront payment it received under the Roche Agreement, or $12.1 million, and is obligated to pay the IIA approximately 24.1% of any milestone and royalty payments which may be received under the Roche Agreement, up to an aggregate cap on all payments, such cap growing over time via interest accrual until paid in full. As of December 31, 2023, the aggregate cap amount was approximately $93.2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Second Amended and Restated License Agreement, dated June 15, 2017, between Cell Cure and Hadasit, and a certain letter agreement entered into on December 17, 2021, Cell Cure paid a sublicensing fee to Hadasit of $8.9 million or 21.5% of the $50.0 million upfront payment under the Roche Agreement (subject to certain reductions), and Cell Cure is obligated to pay Hadasit (i) a maximum of 21.5% of any milestone payments Lineage receives under the Roche Agreement (subject to certain reductions, including for costs related to Lineage’s performance obligations under the Roche Agreement) and of any milestone payments, and (ii) up to 50% of all royalty payments (subject to a maximum payment of 5% of net sales of products), Lineage receives under the Roche Agreement. The letter agreement generally terminates upon the termination of the Roche Agreement.</w:t>
      </w:r>
    </w:p>
    <w:p>
      <w:pPr>
        <w:pStyle w:val="TextBody"/>
        <w:bidi w:val="0"/>
        <w:spacing w:before="360" w:after="283"/>
        <w:jc w:val="both"/>
        <w:rPr>
          <w:rFonts w:ascii="Times New Roman" w:hAnsi="Times New Roman"/>
          <w:sz w:val="20"/>
        </w:rPr>
      </w:pPr>
      <w:r>
        <w:rPr>
          <w:rFonts w:ascii="Times New Roman" w:hAnsi="Times New Roman"/>
          <w:i/>
          <w:color w:val="000000"/>
          <w:sz w:val="20"/>
        </w:rPr>
        <w:t>Second Amendment to Clinical Trial and Option Agreement and License Agreement with Cancer Research UK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2020, Lineage and Asterias entered into a Second Amendment to the Clinical Trial and Option Agreement (the “Second CTOA Amendment”) with CRUK and Cancer Research Technology (“CRT”). The Second CTOA Amendment amended the initial agreement and the first amendment to the Clinical Trial and Option Agreement, each of which is dated September 8, 2014, between Asterias, CRUK and CRT. Pursuant to the Second CTOA Amendment, Lineage assumed all obligations of Asterias and exercised early its option to acquire data generated in the Phase 1 clinical trial of VAC2 in non-small cell lung cancer being conducted by CRUK.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Lineage and CRT effectuated the option by simultaneously entering into a license agreement (the “CRT License Agreement”) pursuant to which Lineage paid a signature fee of £1,250,000 (approximately $1.6 million based upon exchange rates in effect when the fee was paid). For the primary licensed product for the first indication, the CRT License Agreement provides for milestone fees of up to £8,000,000 based upon initiation of a Phase 3 clinical trial and the filing for regulatory approval and up to £22,500,000 in sales-based milestones payments. Additional milestone fees and sales-based milestone payments would be payable for other products or indications, and mid-single-digit royalty payments are payable on sales of commercial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Either party may terminate the CRT License Agreement for the uncured material breach of the other party. CRT may terminate the CRT License Agreement in the case of Lineage’s insolvency or if Lineage ceases all development and commercialization of all products under the CRT License Agreement.</w:t>
      </w:r>
    </w:p>
    <w:p>
      <w:pPr>
        <w:pStyle w:val="TextBody"/>
        <w:bidi w:val="0"/>
        <w:spacing w:before="360" w:after="283"/>
        <w:jc w:val="both"/>
        <w:rPr>
          <w:rFonts w:ascii="Times New Roman" w:hAnsi="Times New Roman"/>
          <w:sz w:val="20"/>
        </w:rPr>
      </w:pPr>
      <w:r>
        <w:rPr>
          <w:rFonts w:ascii="Times New Roman" w:hAnsi="Times New Roman"/>
          <w:i/>
          <w:color w:val="000000"/>
          <w:sz w:val="20"/>
        </w:rPr>
        <w:t>Other Contingent Obligations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obligations under license agreements and grants received from government entities to make future payments to third parties, which become due and payable on the achievement of certain development, regulatory and commercial milestones or on the sublicense of our rights to another party. These commitments include sublicense fees, milestone payments, redemption fees and royalties. Sublicense fees are payable to licensors or government entities when we sublicense underlying intellectual property to third parties; the fees are based on a percentage of the license-related revenue we receive from sublicensees. Milestone payments are due to licensors or government entities upon the future achievement of certain development and regulatory milestones. Redemption fees due to the IIA under the Innovation Law are due upon receipt of any milestone and royalties received under the Roche Agreement. Royalties are payable to licensors or government entities based on a percentage of net sales of licensed products. As of December 31, 2023, we have not included these commitments on our consolidated balance sheet because the achievement and timing of these events are not fixed and determinable.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Litigation – General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are subject to legal proceedings and claims in the ordinary course of business. While management presently believes that the ultimate outcome of these proceedings, individually and in the aggregate, will not materially harm our financial position, cash flows, or overall trends in results of operations, legal proceedings are subject to inherent uncertainties, and unfavorable rulings or outcomes could occur that have individually or in aggregate, a material adverse effect on our business, financial condition or operating results. We are not currently subject to any pending material litigation, other than ordinary routine litigation incidental to our business.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Asterias Merger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November 2018, Lineage, Asterias Biotherapeutics, Inc. (“Asterias”), and Patrick Merger Sub, Inc., a wholly owned subsidiary of Lineage, entered into an Agreement and Plan of Merger pursuant to which Lineage agreed to acquire all of the outstanding common stock of Asterias in a stock-for-stock transaction (the “Asterias Merger”).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Asterias Merger closed in March 2019. In October 2019, a putative class action lawsuit was filed against the company and certain other named defendants challenging the Asterias Merger.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February 2023, the court approved a Stipulation and Agreement of Compromise and Settlement pursuant to which, Lineage and certain insurers of the defendants paid $10.65 million (the “Settlement Amount”) into a fund created for the benefit of the purported class and in consideration for the full and final release, settlement and discharge of all claims. Approximately $7.12 million of the Settlement Amount was funded by certain insurers and approximately $3.53 million was paid by Lineage.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Lineage and all defendants have denied, and continue to deny, the claims alleged in the lawsuit and the settlement does not reflect or constitute any admission, concession, presumption, proof, evidence or finding of any liability, fault, wrongdoing or injury or damages, or of any wrongful conduct, acts or omissions on the part any defendant.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Premvia Litigation Settlement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July 2019, the Company, along with other named defendants, was sued in the Superior Court of the State of California in a matter captioned Gonzalez v. Aronowitz, M.D., et al. The plaintiff asserted medical negligence and product liability causes of action relating to the 2017 and 2018 use in a clinical trial of a product candidate, Premvia, that the Company is no longer developing and has no plans to pursue, and that is not related to the cell therapy candidates the Company currently is developing. In February 2023, the Company and the other defendants each entered into settlement agreements with the plaintiff pursuant to which the defendants without admitting any liability, which the defendants expressly denied, each agreed to pay specified amounts to the plaintiff in exchange for a full settlement and release and discharge of claims. The Company’s insurance covered the full amount paid by the Company excluding the $25,000 insurance deductible.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HBL Books and Records Request</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April 17, 2023, Cell Cure received a motion for disclosure of documents pursuant to Section 198A of the Israeli Companies Law 5759-1999. The motion was filed in the district court in Tel Aviv-Yafo (the “Court”) by HBL Hadasit Bio-Holdings Ltd. (“HBL”), currently an approximately 5% shareholder of Cell Cure. According to the motion, the requested production of documents is intended to allow HBL to examine the possibility of pursuing a derivative action related to, among other things, the validity of an intercompany Collaboration and License Agreement (the “Intercompany Agreement”) entered into between Lineage and Cell Cure pursuant to which Cell Cure conveyed certain rights and other assets to Lineage, and Lineage agreed to undertake certain liabilities and obligations of Cell Cure relating to the OpRegen® program. In its motion, HBL alleges, among other things, that Lineage, in its capacity as Cell Cure’s controlling shareholder, and members of Cell Cure’s board of directors caused damage to Cell Cure because the Intercompany Agreement was an interested party transaction that was not fairly priced and exploits Cell Cure’s resources for the benefit of Lineage. The motion seeks an order to compel Cell Cure to disclose and deliver to HBL the documents described in the motion, such additional, cumulative, or alternative relief as the court deems appropriate, and reimbursement of HBL’s expenses, including attorneys’ fees. Cell Cure filed an opposition to the motion on July 9, 2023. The Court set a hearing date for the motion of March 14, 2024. It is impossible at this time to assess whether the outcome of this proceeding will have a material adverse effect on Lineage’s consolidated results of operations, cash flows or financial position. Therefore, in accordance with ASC 450, </w:t>
      </w:r>
      <w:r>
        <w:rPr>
          <w:rFonts w:ascii="Times New Roman" w:hAnsi="Times New Roman"/>
          <w:i/>
          <w:color w:val="000000"/>
          <w:sz w:val="20"/>
        </w:rPr>
        <w:t>Contingencies</w:t>
      </w:r>
      <w:r>
        <w:rPr>
          <w:rFonts w:ascii="Times New Roman" w:hAnsi="Times New Roman"/>
          <w:color w:val="000000"/>
          <w:sz w:val="20"/>
        </w:rPr>
        <w:t xml:space="preserve">, Lineage has not recorded any accrual for a contingent liability associated with this legal proceeding based on its belief that a liability, while possible, is not probable nor estimable, and any range of potential contingent liability amounts cannot be reasonably estimated at this time. Lineage records legal expenses as incurred.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Employment Contracts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Lineage has employment agreements with all of its executive officers. Under the provisions of the agreements, Lineage may be required to incur severance obligations for matters relating to changes in control, as defined in the agreements, and involuntary terminations.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Indemnification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normal course of business, Lineage may agree to indemnify and reimburse other parties, typically Lineage’s clinical research organizations, investigators, clinical sites, and suppliers, for losses and expenses suffered or incurred by the indemnified parties arising from claims of third parties in connection with the use or testing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Lineage’s products and services. Indemnification could also cover third party infringement claims with respect to patent rights, copyrights, or other intellectual property pertaining to Lineage products and services. The term of these indemnification agreements generally continue in effect after the termination or expiration of the particular research, development, services, or license agreement to which they relate. The potential future payments Lineage could be required to make under these indemnification agreements will generally not be subject to any specified maximum amount. Generally, Lineage has not been subject to any material claims or demands for indemnification. Lineage maintains liability insurance policies that limit its financial exposure under the indemnification agreements. Accordingly, Lineage has not recorded any liabilities for these agreements as of December 31, 2023 or 2022.</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Royalty Obligations and License Fees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licensing agreements with research institutions, universities and other parties providing us with certain rights to use intellectual property in conducting research and development activities in exchange for the payment of royalties on future product sales, if any. In addition, in order to maintain these licenses and other rights, we must comply with various conditions including the payment of patent related costs and annual minimum maintenance fees.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the Asterias Merger, Lineage acquired royalty revenues for cash flows generated under patent families that Asterias acquired from Geron Corporation. Lineage continues to make royalty payments to Geron from royalties generated from these patents. Royalty revenues and royalty payments are included within royalties, license and other revenues and cost of sales, respectively, in our consolidated statements of operations.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15. Employee Benefit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 defined contribution 401(k) plan for all employees. Under the terms of the plan, employees may make voluntary contributions as a percentage or defined amount of compensation. We provide a safe harbor contribution of up to 5.0% of the employee’s compensation, not to exceed eligible limits, and subject to employee participation. For each of the years ended December 31, 2023 and 2022, we incurred approximately $0.2 million in expenses related to the safe harbor contribution.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16. Segment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Lineage’s executive management team, as a group, represents the entity’s chief operating decision makers. Lineage’s executive management team views Lineage’s operations as one segment that includes the research and development of therapeutic products for retinal diseases, neurological diseases and disorders and oncology. As a result, the financial information disclosed materially represents all the financial information related to Lineage’s sole operating segment.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17. Enterprise-Wide Disclosures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Geographic Area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years ended December 31, 2023 and 2022 none of our revenue was generated outside of the United States.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composition of Lineage’s long-lived assets, consisting of plant and equipment, net, between those in the United States and in foreign countries, as of December 31, 2023 and 2022, is set forth below (in thousands):</w:t>
      </w:r>
    </w:p>
    <w:p>
      <w:pPr>
        <w:pStyle w:val="TextBody"/>
        <w:bidi w:val="0"/>
        <w:jc w:val="left"/>
        <w:rPr/>
      </w:pPr>
      <w:r>
        <w:rPr/>
        <w:t> </w:t>
      </w:r>
    </w:p>
    <w:tbl>
      <w:tblPr>
        <w:tblW w:w="3532" w:type="dxa"/>
        <w:jc w:val="left"/>
        <w:tblInd w:w="0" w:type="dxa"/>
        <w:tblLayout w:type="fixed"/>
        <w:tblCellMar>
          <w:top w:w="28" w:type="dxa"/>
          <w:left w:w="28" w:type="dxa"/>
          <w:bottom w:w="28" w:type="dxa"/>
          <w:right w:w="28" w:type="dxa"/>
        </w:tblCellMar>
      </w:tblPr>
      <w:tblGrid>
        <w:gridCol w:w="1201"/>
        <w:gridCol w:w="146"/>
        <w:gridCol w:w="226"/>
        <w:gridCol w:w="614"/>
        <w:gridCol w:w="157"/>
        <w:gridCol w:w="157"/>
        <w:gridCol w:w="226"/>
        <w:gridCol w:w="614"/>
        <w:gridCol w:w="19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191"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Foreign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4,767</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Assets in foreign countries principally include laboratory equipment and leasehold improvements in Israel.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Major Sources of 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Lineage’s consolidated revenues disaggregated by source (in thousands, except percentages).</w:t>
      </w:r>
    </w:p>
    <w:p>
      <w:pPr>
        <w:pStyle w:val="TextBody"/>
        <w:bidi w:val="0"/>
        <w:jc w:val="left"/>
        <w:rPr/>
      </w:pPr>
      <w:r>
        <w:rPr/>
        <w:t> </w:t>
      </w:r>
    </w:p>
    <w:tbl>
      <w:tblPr>
        <w:tblW w:w="7824" w:type="dxa"/>
        <w:jc w:val="left"/>
        <w:tblInd w:w="0" w:type="dxa"/>
        <w:tblLayout w:type="fixed"/>
        <w:tblCellMar>
          <w:top w:w="28" w:type="dxa"/>
          <w:left w:w="28" w:type="dxa"/>
          <w:bottom w:w="28" w:type="dxa"/>
          <w:right w:w="28" w:type="dxa"/>
        </w:tblCellMar>
      </w:tblPr>
      <w:tblGrid>
        <w:gridCol w:w="3236"/>
        <w:gridCol w:w="146"/>
        <w:gridCol w:w="214"/>
        <w:gridCol w:w="581"/>
        <w:gridCol w:w="148"/>
        <w:gridCol w:w="148"/>
        <w:gridCol w:w="214"/>
        <w:gridCol w:w="688"/>
        <w:gridCol w:w="146"/>
        <w:gridCol w:w="146"/>
        <w:gridCol w:w="146"/>
        <w:gridCol w:w="466"/>
        <w:gridCol w:w="271"/>
        <w:gridCol w:w="146"/>
        <w:gridCol w:w="146"/>
        <w:gridCol w:w="466"/>
        <w:gridCol w:w="516"/>
      </w:tblGrid>
      <w:tr>
        <w:trPr/>
        <w:tc>
          <w:tcPr>
            <w:tcW w:w="3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2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Total</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795" w:type="dxa"/>
            <w:gridSpan w:val="2"/>
            <w:tcBorders/>
            <w:shd w:fill="CFF0FC" w:val="clear"/>
            <w:vAlign w:val="center"/>
          </w:tcPr>
          <w:p>
            <w:pPr>
              <w:pStyle w:val="TableContents"/>
              <w:bidi w:val="0"/>
              <w:spacing w:before="0" w:after="283"/>
              <w:jc w:val="center"/>
              <w:rPr/>
            </w:pPr>
            <w:r>
              <w:rPr/>
              <w:t> </w:t>
            </w:r>
          </w:p>
        </w:tc>
        <w:tc>
          <w:tcPr>
            <w:tcW w:w="148" w:type="dxa"/>
            <w:tcBorders/>
            <w:shd w:fill="CFF0FC" w:val="clear"/>
            <w:vAlign w:val="center"/>
          </w:tcPr>
          <w:p>
            <w:pPr>
              <w:pStyle w:val="TableContents"/>
              <w:bidi w:val="0"/>
              <w:spacing w:before="0" w:after="283"/>
              <w:jc w:val="center"/>
              <w:rPr/>
            </w:pPr>
            <w:r>
              <w:rPr/>
              <w:t> </w:t>
            </w:r>
          </w:p>
        </w:tc>
        <w:tc>
          <w:tcPr>
            <w:tcW w:w="148"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12" w:type="dxa"/>
            <w:gridSpan w:val="2"/>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12" w:type="dxa"/>
            <w:gridSpan w:val="2"/>
            <w:tcBorders/>
            <w:shd w:fill="CFF0FC" w:val="clear"/>
            <w:vAlign w:val="center"/>
          </w:tcPr>
          <w:p>
            <w:pPr>
              <w:pStyle w:val="TableContents"/>
              <w:bidi w:val="0"/>
              <w:spacing w:before="0" w:after="283"/>
              <w:jc w:val="center"/>
              <w:rPr/>
            </w:pPr>
            <w:r>
              <w:rPr/>
              <w:t> </w:t>
            </w:r>
          </w:p>
        </w:tc>
        <w:tc>
          <w:tcPr>
            <w:tcW w:w="516" w:type="dxa"/>
            <w:tcBorders/>
            <w:shd w:fill="CFF0FC" w:val="clear"/>
            <w:vAlign w:val="center"/>
          </w:tcPr>
          <w:p>
            <w:pPr>
              <w:pStyle w:val="TableContents"/>
              <w:bidi w:val="0"/>
              <w:spacing w:before="0" w:after="283"/>
              <w:ind w:left="0" w:right="0" w:firstLine="100"/>
              <w:jc w:val="center"/>
              <w:rPr/>
            </w:pPr>
            <w:r>
              <w:rPr/>
              <w:t> </w:t>
            </w:r>
          </w:p>
        </w:tc>
      </w:tr>
      <w:tr>
        <w:trPr/>
        <w:tc>
          <w:tcPr>
            <w:tcW w:w="323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Collaboration revenues</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7,588</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51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Royalties, license and other revenues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8,945</w:t>
            </w:r>
          </w:p>
        </w:tc>
        <w:tc>
          <w:tcPr>
            <w:tcW w:w="14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18. Selected Quarterly Financial Information (UNAUDITED) (in thousands, except per share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Lineage has derived this data from the unaudited consolidated interim financial statements that, in Lineage’s opinion, have been prepared on substantially the same basis as the audited consolidated financial statements contained herein and include all normal recurring adjustments necessary for a fair presentation of the financial information for the periods presented. These unaudited consolidated quarterly results should be read in conjunction with the consolidated financial statements and notes thereto included herein. The consolidated operating results in any quarter are not necessarily indicative of the consolidated results that may be expected for any future period.</w:t>
      </w:r>
    </w:p>
    <w:p>
      <w:pPr>
        <w:pStyle w:val="TextBody"/>
        <w:bidi w:val="0"/>
        <w:jc w:val="left"/>
        <w:rPr/>
      </w:pPr>
      <w:r>
        <w:rPr/>
        <w:t> </w:t>
      </w:r>
    </w:p>
    <w:tbl>
      <w:tblPr>
        <w:tblW w:w="7677" w:type="dxa"/>
        <w:jc w:val="left"/>
        <w:tblInd w:w="0" w:type="dxa"/>
        <w:tblLayout w:type="fixed"/>
        <w:tblCellMar>
          <w:top w:w="28" w:type="dxa"/>
          <w:left w:w="28" w:type="dxa"/>
          <w:bottom w:w="28" w:type="dxa"/>
          <w:right w:w="28" w:type="dxa"/>
        </w:tblCellMar>
      </w:tblPr>
      <w:tblGrid>
        <w:gridCol w:w="2971"/>
        <w:gridCol w:w="146"/>
        <w:gridCol w:w="211"/>
        <w:gridCol w:w="676"/>
        <w:gridCol w:w="166"/>
        <w:gridCol w:w="146"/>
        <w:gridCol w:w="211"/>
        <w:gridCol w:w="631"/>
        <w:gridCol w:w="166"/>
        <w:gridCol w:w="146"/>
        <w:gridCol w:w="211"/>
        <w:gridCol w:w="631"/>
        <w:gridCol w:w="166"/>
        <w:gridCol w:w="146"/>
        <w:gridCol w:w="211"/>
        <w:gridCol w:w="631"/>
        <w:gridCol w:w="21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Fourth</w:t>
            </w:r>
          </w:p>
        </w:tc>
        <w:tc>
          <w:tcPr>
            <w:tcW w:w="211" w:type="dxa"/>
            <w:tcBorders/>
            <w:shd w:fill="FFFFFF" w:val="clear"/>
            <w:vAlign w:val="center"/>
          </w:tcPr>
          <w:p>
            <w:pPr>
              <w:pStyle w:val="TableContents"/>
              <w:bidi w:val="0"/>
              <w:spacing w:before="0" w:after="283"/>
              <w:jc w:val="center"/>
              <w:rPr/>
            </w:pPr>
            <w:r>
              <w:rPr/>
              <w:t> </w:t>
            </w:r>
          </w:p>
        </w:tc>
      </w:tr>
      <w:tr>
        <w:trPr/>
        <w:tc>
          <w:tcPr>
            <w:tcW w:w="2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Quarter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Quarter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Quarter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Quarter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w:t>
            </w:r>
          </w:p>
        </w:tc>
        <w:tc>
          <w:tcPr>
            <w:tcW w:w="211" w:type="dxa"/>
            <w:tcBorders/>
            <w:shd w:fill="CFF0FC"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8,194</w:t>
            </w:r>
          </w:p>
        </w:tc>
        <w:tc>
          <w:tcPr>
            <w:tcW w:w="211" w:type="dxa"/>
            <w:tcBorders/>
            <w:shd w:fill="FFFFFF" w:val="clear"/>
            <w:vAlign w:val="center"/>
          </w:tcPr>
          <w:p>
            <w:pPr>
              <w:pStyle w:val="TableContents"/>
              <w:bidi w:val="0"/>
              <w:spacing w:before="0" w:after="283"/>
              <w:jc w:val="left"/>
              <w:rPr/>
            </w:pPr>
            <w:r>
              <w:rPr/>
              <w:t> </w:t>
            </w:r>
          </w:p>
        </w:tc>
      </w:tr>
      <w:tr>
        <w:trPr/>
        <w:tc>
          <w:tcPr>
            <w:tcW w:w="29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Lineage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29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share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2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29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w:t>
            </w:r>
          </w:p>
        </w:tc>
        <w:tc>
          <w:tcPr>
            <w:tcW w:w="211" w:type="dxa"/>
            <w:tcBorders/>
            <w:shd w:fill="CFF0FC"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8,452</w:t>
            </w:r>
          </w:p>
        </w:tc>
        <w:tc>
          <w:tcPr>
            <w:tcW w:w="211" w:type="dxa"/>
            <w:tcBorders/>
            <w:shd w:fill="FFFFFF" w:val="clear"/>
            <w:vAlign w:val="center"/>
          </w:tcPr>
          <w:p>
            <w:pPr>
              <w:pStyle w:val="TableContents"/>
              <w:bidi w:val="0"/>
              <w:spacing w:before="0" w:after="283"/>
              <w:jc w:val="left"/>
              <w:rPr/>
            </w:pPr>
            <w:r>
              <w:rPr/>
              <w:t> </w:t>
            </w:r>
          </w:p>
        </w:tc>
      </w:tr>
      <w:tr>
        <w:trPr/>
        <w:tc>
          <w:tcPr>
            <w:tcW w:w="29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(6,639</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Lineage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(6,354</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29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share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Quarterly and year-to-date computations of net loss per share amounts are calculated using the respective period weighted average shares outstanding. Therefore, the sum of the per share amounts for the quarters may not agree with the per share amounts for the year.</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19. Subsequent Events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8, 2024, Lineage completed a registered direct offering of 13,461,540 of its common shares at a price of $1.04 per share. An existing significant shareholder, Broadwood Partners, L.P., which is affiliated with Neal Bradsher, a member of Lineage's board of directors, purchased 6,730,770 common shares in the offering, and Don M. Bailey, a member of Lineage's board of directors purchased 96,155 common shares in the offering. Net proceeds to Lineage from the offering were approximately $13.8 million.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February 6, 2024, Lineage filed a prospectus supplement to update and amend the ATM Prospectus Supplement to reduce the dollar amount of common shares Lineage may sell in its at-the-market offering program. Accordingly, from and after February 6, 2024, Lineage may offer and sell from time-to-time common shares having an aggregate offering price of up to $40.0 million in its at-the-market offering program.</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23" w:name="item_9_changes_in_and_disagreements"/>
      <w:bookmarkEnd w:id="23"/>
      <w:r>
        <w:rPr>
          <w:rFonts w:ascii="Times New Roman" w:hAnsi="Times New Roman"/>
          <w:b/>
          <w:color w:val="000000"/>
          <w:sz w:val="20"/>
        </w:rPr>
        <w:t>ITEM 9. CHANGES IN AND DISAGREEMENTS WITH ACCOUNTANTS ON ACCOUNTING AND FINANCIAL DISCLOSURE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sz w:val="20"/>
        </w:rPr>
      </w:pPr>
      <w:bookmarkStart w:id="24" w:name="item_9a_controls_and_procedures"/>
      <w:bookmarkEnd w:id="24"/>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9A. CONTROLS AND PROCEDURES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both"/>
        <w:rPr>
          <w:rFonts w:ascii="Times New Roman" w:hAnsi="Times New Roman"/>
          <w:sz w:val="20"/>
        </w:rPr>
      </w:pPr>
      <w:r>
        <w:rPr>
          <w:rFonts w:ascii="Times New Roman" w:hAnsi="Times New Roman"/>
          <w:color w:val="000000"/>
          <w:sz w:val="20"/>
        </w:rPr>
        <w:t>It is management’s responsibility to establish and maintain adequate internal control over all financial reporting pursuant to Rule 13a-15 under the Exchange Act. Our management, including our principal executive officer and our principal financial officer, have reviewed and evaluated the effectiveness of our disclosure controls and procedures as of December 31, 2023. Following this review and evaluation</w:t>
      </w:r>
      <w:r>
        <w:rPr>
          <w:rFonts w:ascii="Times New Roman" w:hAnsi="Times New Roman"/>
          <w:i/>
          <w:color w:val="000000"/>
          <w:sz w:val="20"/>
        </w:rPr>
        <w:t xml:space="preserve">, </w:t>
      </w:r>
      <w:r>
        <w:rPr>
          <w:rFonts w:ascii="Times New Roman" w:hAnsi="Times New Roman"/>
          <w:color w:val="000000"/>
          <w:sz w:val="20"/>
        </w:rPr>
        <w:t>management collectively determined that our disclosure controls and procedures were effective as of December 31, 2023 to ensure that information required to be disclosed by us in reports that we file or submit under the Exchange Act: (i) is recorded, processed, summarized and reported within the time periods specified in SEC rules and forms; and (ii) is accumulated and communicated to management, including principal executive officer and our principal financial officer, as appropriate to allow timely decisions regarding required disclosure.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the fourth quarter of 2023 that have materially affected, or are reasonably likely to materially affect, our internal control over financial reporting.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Management’s Report on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Internal control over financial reporting, as defined in Exchange Act Rule 13a-15(f), is a process designed by, or under the supervision of, our principal executive officer, and our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Pertain to the maintenance of records that in reasonable detail accurately and fairly reflect the transactions and dispositions of our assets;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reasonable assurance regarding prevention or timely detection of unauthorized acquisition, use or disposition of our assets that could have a material effect on the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All internal control systems, no matter how well designed, have inherent limitations. Therefore, even those systems determined to be effective can provide only reasonable assurance with respect to financial statement preparation and presentation. The scope of management’s assessment of the effectiveness of internal control over financial reporting includes our consolidated subsidiaries.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management assessed the effectiveness of our internal control over financial reporting as of December 31, 2023, based on criteria established in the 2013 Internal Control – Integrated Framework issued by the Committee of Sponsoring Organizations of the Treadway Commission. Based on this assessment, management believes that, as of that date, our internal control over financial reporting was effective.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25" w:name="item_9b_other_information"/>
      <w:bookmarkEnd w:id="25"/>
      <w:r>
        <w:rPr>
          <w:rFonts w:ascii="Times New Roman" w:hAnsi="Times New Roman"/>
          <w:b/>
          <w:color w:val="000000"/>
          <w:sz w:val="20"/>
        </w:rPr>
        <w:t>ITEM 9B.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On March 6, we and each of Brian M. Culley, Jill A. Howe, and George A. Samuel III, each of whom is one of our executive officers, entered into an amendment to their respective employment agreements. Under the terms of each of their employment agreements before they were amended, if their employment was terminated by us without cause (as defined in their employment agreements) or if they resigned for good reason (as defined in their employment agreements), among other benefits payable to them, we would pay the applicable executive a specified percentage of their target bonus for the year in which their employment was terminated. Under the terms of the amendment, (1) if the applicable executive’s target bonus for the year in which their employment is terminated has not been set at the time their employment is terminated, then the amount of their target bonus for the immediately preceding year will be deemed to be the target bonus for the year in which their employment is terminated; and (2) if the applicable executive has not been paid their bonus for the immediately preceding year at the time their employment is terminated solely because executive’s employment is terminated before the date on which such bonus otherwise would be paid, they will also receive a payment equal to 100% of the target bonus of such preceding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During the period from October 1, 2023 to December 31, 2023, none of our directors or officers (as defined in Rule 16a-1(f) under the Exchange Act) adopted or terminated any Rule 10b5-1 trading arrangement (as defined in Item 408(a)(1)(i) of Regulation S-K) or any non-Rule 10b5-1 trading arrangement (as defined in Item 408(c) of Regulation S-K).</w:t>
      </w:r>
    </w:p>
    <w:p>
      <w:pPr>
        <w:pStyle w:val="TextBody"/>
        <w:bidi w:val="0"/>
        <w:spacing w:before="360" w:after="283"/>
        <w:jc w:val="both"/>
        <w:rPr>
          <w:rFonts w:ascii="Times New Roman" w:hAnsi="Times New Roman"/>
          <w:sz w:val="20"/>
        </w:rPr>
      </w:pPr>
      <w:bookmarkStart w:id="26" w:name="item_9c_disclosure_regarding_foreign"/>
      <w:bookmarkEnd w:id="26"/>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 xml:space="preserve">9C. </w:t>
      </w:r>
      <w:r>
        <w:rPr>
          <w:rFonts w:ascii="Times New Roman" w:hAnsi="Times New Roman"/>
          <w:b/>
          <w:caps/>
          <w:color w:val="000000"/>
          <w:sz w:val="20"/>
        </w:rPr>
        <w:t>Disclosure Regarding Foreign Jurisdictions that Prevent Inspections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7" w:name="part_iii"/>
      <w:bookmarkEnd w:id="27"/>
      <w:r>
        <w:rPr>
          <w:rFonts w:ascii="Times New Roman" w:hAnsi="Times New Roman"/>
          <w:b/>
          <w:color w:val="000000"/>
          <w:sz w:val="20"/>
        </w:rPr>
        <w:t>PART III</w:t>
      </w:r>
    </w:p>
    <w:p>
      <w:pPr>
        <w:pStyle w:val="TextBody"/>
        <w:bidi w:val="0"/>
        <w:spacing w:before="240" w:after="283"/>
        <w:jc w:val="both"/>
        <w:rPr>
          <w:rFonts w:ascii="Times New Roman" w:hAnsi="Times New Roman"/>
          <w:b/>
          <w:color w:val="000000"/>
          <w:sz w:val="20"/>
        </w:rPr>
      </w:pPr>
      <w:bookmarkStart w:id="28" w:name="item_10_directors_executive_officers"/>
      <w:bookmarkEnd w:id="28"/>
      <w:r>
        <w:rPr>
          <w:rFonts w:ascii="Times New Roman" w:hAnsi="Times New Roman"/>
          <w:b/>
          <w:color w:val="000000"/>
          <w:sz w:val="20"/>
        </w:rPr>
        <w:t>ITEM 10. DIRECTORS, EXECUTIVE OFFICERS AND CORPORATE GOVERNANCE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included in our definitive proxy statement to be filed with the SEC within 120 days after December 31, 2023, in connection with the solicitation of proxies for our 2024 annual meeting of shareholders (the “2024 Proxy Statement”), and is incorporated herein by reference.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have a written Code of Ethics that applies to our principal executive officer, our principal financial officer and accounting officer, our other executive officers, and our directors. The purpose of the Code of Ethics is to promote (i) honest and ethical conduct, including the ethical handling of actual or apparent conflicts of interest between personal and professional relationships; (ii) full, fair, accurate, timely, and understandable disclosure in reports and documents that we file with or submit to the Securities and Exchange Commission and in our other public communications; (iii) compliance with applicable governmental rules and regulations; (iv) prompt internal reporting of violations of the Code of Ethics to an appropriate person or persons identified in the Code; and (v) accountability for adherence to the Code. A copy of our Code of Ethics has been posted on our internet website and can be found at </w:t>
      </w:r>
      <w:r>
        <w:rPr>
          <w:rFonts w:ascii="Times New Roman" w:hAnsi="Times New Roman"/>
          <w:i/>
          <w:color w:val="000000"/>
          <w:sz w:val="20"/>
        </w:rPr>
        <w:t>www.lineagecell.com</w:t>
      </w:r>
      <w:r>
        <w:rPr>
          <w:rFonts w:ascii="Times New Roman" w:hAnsi="Times New Roman"/>
          <w:color w:val="000000"/>
          <w:sz w:val="20"/>
        </w:rPr>
        <w:t>. If we amend or waive a provision of our Code of Ethics that applies to our chief executive officer or chief financial officer, we will post the amended Code of Ethics or information about the waiver on our internet website.</w:t>
      </w:r>
    </w:p>
    <w:p>
      <w:pPr>
        <w:pStyle w:val="TextBody"/>
        <w:bidi w:val="0"/>
        <w:spacing w:before="360" w:after="283"/>
        <w:jc w:val="both"/>
        <w:rPr>
          <w:rFonts w:ascii="Times New Roman" w:hAnsi="Times New Roman"/>
          <w:b/>
          <w:color w:val="000000"/>
          <w:sz w:val="20"/>
        </w:rPr>
      </w:pPr>
      <w:bookmarkStart w:id="29" w:name="item_11_executive_compensation"/>
      <w:bookmarkEnd w:id="29"/>
      <w:r>
        <w:rPr>
          <w:rFonts w:ascii="Times New Roman" w:hAnsi="Times New Roman"/>
          <w:b/>
          <w:color w:val="000000"/>
          <w:sz w:val="20"/>
        </w:rPr>
        <w:t>ITEM 11. EXECUTIVE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included in the 2024 Proxy Statement and is incorporated herein by reference.</w:t>
      </w:r>
    </w:p>
    <w:p>
      <w:pPr>
        <w:pStyle w:val="TextBody"/>
        <w:bidi w:val="0"/>
        <w:spacing w:before="360" w:after="283"/>
        <w:jc w:val="both"/>
        <w:rPr>
          <w:rFonts w:ascii="Times New Roman" w:hAnsi="Times New Roman"/>
          <w:b/>
          <w:color w:val="000000"/>
          <w:sz w:val="20"/>
        </w:rPr>
      </w:pPr>
      <w:bookmarkStart w:id="30" w:name="item_12_security_ownership"/>
      <w:bookmarkEnd w:id="30"/>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included in the 2024 Proxy Statement and is incorporated herein by reference.</w:t>
      </w:r>
    </w:p>
    <w:p>
      <w:pPr>
        <w:pStyle w:val="TextBody"/>
        <w:bidi w:val="0"/>
        <w:spacing w:before="360" w:after="283"/>
        <w:jc w:val="left"/>
        <w:rPr>
          <w:rFonts w:ascii="Times New Roman" w:hAnsi="Times New Roman"/>
          <w:sz w:val="20"/>
        </w:rPr>
      </w:pPr>
      <w:bookmarkStart w:id="31" w:name="item_13_certain_relationships"/>
      <w:bookmarkEnd w:id="31"/>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13. CERTAIN RELATIONSHIPS AND RELATED TRANSACTIONS, AND DIRECTOR INDEPENDENCE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included in the 2024 Proxy Statement and is incorporated herein by reference.</w:t>
      </w:r>
    </w:p>
    <w:p>
      <w:pPr>
        <w:pStyle w:val="TextBody"/>
        <w:bidi w:val="0"/>
        <w:spacing w:before="360" w:after="283"/>
        <w:jc w:val="both"/>
        <w:rPr>
          <w:rFonts w:ascii="Times New Roman" w:hAnsi="Times New Roman"/>
          <w:b/>
          <w:color w:val="000000"/>
          <w:sz w:val="20"/>
        </w:rPr>
      </w:pPr>
      <w:bookmarkStart w:id="32" w:name="item_14_principal_accountant_fees"/>
      <w:bookmarkEnd w:id="32"/>
      <w:r>
        <w:rPr>
          <w:rFonts w:ascii="Times New Roman" w:hAnsi="Times New Roman"/>
          <w:b/>
          <w:color w:val="000000"/>
          <w:sz w:val="20"/>
        </w:rPr>
        <w:t>ITEM 14. PRINCIPAL ACCOUNTANT FEES AND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included in the 2024 Proxy Statement and is incorporated herein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3" w:name="part_iv"/>
      <w:bookmarkEnd w:id="33"/>
      <w:r>
        <w:rPr>
          <w:rFonts w:ascii="Times New Roman" w:hAnsi="Times New Roman"/>
          <w:b/>
          <w:color w:val="000000"/>
          <w:sz w:val="20"/>
        </w:rPr>
        <w:t>PART IV</w:t>
      </w:r>
    </w:p>
    <w:p>
      <w:pPr>
        <w:pStyle w:val="TextBody"/>
        <w:bidi w:val="0"/>
        <w:spacing w:before="240" w:after="283"/>
        <w:jc w:val="both"/>
        <w:rPr>
          <w:rFonts w:ascii="Times New Roman" w:hAnsi="Times New Roman"/>
          <w:b/>
          <w:color w:val="000000"/>
          <w:sz w:val="20"/>
        </w:rPr>
      </w:pPr>
      <w:bookmarkStart w:id="34" w:name="item_15_exhibits_and_financial"/>
      <w:bookmarkEnd w:id="34"/>
      <w:r>
        <w:rPr>
          <w:rFonts w:ascii="Times New Roman" w:hAnsi="Times New Roman"/>
          <w:b/>
          <w:color w:val="000000"/>
          <w:sz w:val="20"/>
        </w:rPr>
        <w:t>ITEM 15. EXHIBIT AND, FINANCIAL STATEMENT SCHEDULES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(a)(1)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financial statements of Lineage are filed in this report:</w:t>
      </w:r>
    </w:p>
    <w:p>
      <w:pPr>
        <w:pStyle w:val="TextBody"/>
        <w:bidi w:val="0"/>
        <w:jc w:val="both"/>
        <w:rPr/>
      </w:pPr>
      <w:r>
        <w:rPr/>
        <w:t> </w:t>
      </w:r>
    </w:p>
    <w:tbl>
      <w:tblPr>
        <w:tblW w:w="5747" w:type="dxa"/>
        <w:jc w:val="left"/>
        <w:tblInd w:w="0" w:type="dxa"/>
        <w:tblLayout w:type="fixed"/>
        <w:tblCellMar>
          <w:top w:w="28" w:type="dxa"/>
          <w:left w:w="28" w:type="dxa"/>
          <w:bottom w:w="28" w:type="dxa"/>
          <w:right w:w="28" w:type="dxa"/>
        </w:tblCellMar>
      </w:tblPr>
      <w:tblGrid>
        <w:gridCol w:w="5386"/>
        <w:gridCol w:w="361"/>
      </w:tblGrid>
      <w:tr>
        <w:trPr/>
        <w:tc>
          <w:tcPr>
            <w:tcW w:w="53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5386" w:type="dxa"/>
            <w:tcBorders/>
            <w:shd w:fill="CCEEFF" w:val="clear"/>
            <w:vAlign w:val="center"/>
          </w:tcPr>
          <w:p>
            <w:pPr>
              <w:pStyle w:val="TableContents"/>
              <w:bidi w:val="0"/>
              <w:spacing w:before="0" w:after="283"/>
              <w:jc w:val="left"/>
              <w:rPr/>
            </w:pPr>
            <w:hyperlink w:anchor="report_of_independent_registered_public">
              <w:r>
                <w:rPr>
                  <w:rStyle w:val="InternetLink"/>
                  <w:rFonts w:ascii="Times New Roman" w:hAnsi="Times New Roman"/>
                  <w:color w:val="0000FF"/>
                  <w:sz w:val="20"/>
                  <w:u w:val="single"/>
                </w:rPr>
                <w:t>Independent Registered Public Accounting Firm - Audit Opinion</w:t>
              </w:r>
            </w:hyperlink>
          </w:p>
        </w:tc>
        <w:tc>
          <w:tcPr>
            <w:tcW w:w="361" w:type="dxa"/>
            <w:tcBorders/>
            <w:shd w:fill="CCEEFF" w:val="cle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91</w:t>
            </w:r>
          </w:p>
        </w:tc>
      </w:tr>
      <w:tr>
        <w:trPr/>
        <w:tc>
          <w:tcPr>
            <w:tcW w:w="5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Statements:</w:t>
            </w:r>
          </w:p>
        </w:tc>
        <w:tc>
          <w:tcPr>
            <w:tcW w:w="361" w:type="dxa"/>
            <w:tcBorders/>
            <w:shd w:fill="FFFFFF" w:val="clear"/>
            <w:vAlign w:val="center"/>
          </w:tcPr>
          <w:p>
            <w:pPr>
              <w:pStyle w:val="TableContents"/>
              <w:bidi w:val="0"/>
              <w:spacing w:before="0" w:after="283"/>
              <w:jc w:val="center"/>
              <w:rPr/>
            </w:pPr>
            <w:r>
              <w:rPr/>
              <w:t> </w:t>
            </w:r>
          </w:p>
        </w:tc>
      </w:tr>
      <w:tr>
        <w:trPr/>
        <w:tc>
          <w:tcPr>
            <w:tcW w:w="5386" w:type="dxa"/>
            <w:tcBorders/>
            <w:shd w:fill="CCEEFF" w:val="cle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w:t>
              </w:r>
            </w:hyperlink>
          </w:p>
        </w:tc>
        <w:tc>
          <w:tcPr>
            <w:tcW w:w="361" w:type="dxa"/>
            <w:tcBorders/>
            <w:shd w:fill="CCEEFF" w:val="cle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93</w:t>
            </w:r>
          </w:p>
        </w:tc>
      </w:tr>
      <w:tr>
        <w:trPr/>
        <w:tc>
          <w:tcPr>
            <w:tcW w:w="5386" w:type="dxa"/>
            <w:tcBorders/>
            <w:shd w:fill="FFFFFF" w:val="cle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Consolidated Statements of Operations</w:t>
              </w:r>
            </w:hyperlink>
          </w:p>
        </w:tc>
        <w:tc>
          <w:tcPr>
            <w:tcW w:w="361" w:type="dxa"/>
            <w:tcBorders/>
            <w:shd w:fill="FFFFFF" w:val="cle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94</w:t>
            </w:r>
          </w:p>
        </w:tc>
      </w:tr>
      <w:tr>
        <w:trPr/>
        <w:tc>
          <w:tcPr>
            <w:tcW w:w="5386" w:type="dxa"/>
            <w:tcBorders/>
            <w:shd w:fill="CCEEFF" w:val="clear"/>
            <w:vAlign w:val="center"/>
          </w:tcPr>
          <w:p>
            <w:pPr>
              <w:pStyle w:val="TableContents"/>
              <w:bidi w:val="0"/>
              <w:spacing w:before="0" w:after="283"/>
              <w:jc w:val="left"/>
              <w:rPr/>
            </w:pPr>
            <w:hyperlink w:anchor="consolidated_statements_comp_loss">
              <w:r>
                <w:rPr>
                  <w:rStyle w:val="InternetLink"/>
                  <w:rFonts w:ascii="Times New Roman" w:hAnsi="Times New Roman"/>
                  <w:color w:val="0000FF"/>
                  <w:sz w:val="20"/>
                  <w:u w:val="single"/>
                </w:rPr>
                <w:t>Consolidated Statements of Comprehensive Loss</w:t>
              </w:r>
            </w:hyperlink>
          </w:p>
        </w:tc>
        <w:tc>
          <w:tcPr>
            <w:tcW w:w="361" w:type="dxa"/>
            <w:tcBorders/>
            <w:shd w:fill="CCEEFF" w:val="cle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95</w:t>
            </w:r>
          </w:p>
        </w:tc>
      </w:tr>
      <w:tr>
        <w:trPr/>
        <w:tc>
          <w:tcPr>
            <w:tcW w:w="5386" w:type="dxa"/>
            <w:tcBorders/>
            <w:shd w:fill="FFFFFF" w:val="clear"/>
            <w:vAlign w:val="center"/>
          </w:tcPr>
          <w:p>
            <w:pPr>
              <w:pStyle w:val="TableContents"/>
              <w:bidi w:val="0"/>
              <w:spacing w:before="0" w:after="283"/>
              <w:jc w:val="left"/>
              <w:rPr/>
            </w:pPr>
            <w:hyperlink w:anchor="consolidated_statements_of_equity">
              <w:r>
                <w:rPr>
                  <w:rStyle w:val="InternetLink"/>
                  <w:rFonts w:ascii="Times New Roman" w:hAnsi="Times New Roman"/>
                  <w:color w:val="0000FF"/>
                  <w:sz w:val="20"/>
                  <w:u w:val="single"/>
                </w:rPr>
                <w:t>Consolidated Statements of Shareholders Equity</w:t>
              </w:r>
            </w:hyperlink>
          </w:p>
        </w:tc>
        <w:tc>
          <w:tcPr>
            <w:tcW w:w="361" w:type="dxa"/>
            <w:tcBorders/>
            <w:shd w:fill="FFFFFF" w:val="cle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96</w:t>
            </w:r>
          </w:p>
        </w:tc>
      </w:tr>
      <w:tr>
        <w:trPr/>
        <w:tc>
          <w:tcPr>
            <w:tcW w:w="5386" w:type="dxa"/>
            <w:tcBorders/>
            <w:shd w:fill="CCEEFF" w:val="cle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Consolidated Statements of Cash Flows</w:t>
              </w:r>
            </w:hyperlink>
          </w:p>
        </w:tc>
        <w:tc>
          <w:tcPr>
            <w:tcW w:w="361" w:type="dxa"/>
            <w:tcBorders/>
            <w:shd w:fill="CCEEFF" w:val="cle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97</w:t>
            </w:r>
          </w:p>
        </w:tc>
      </w:tr>
      <w:tr>
        <w:trPr/>
        <w:tc>
          <w:tcPr>
            <w:tcW w:w="5386" w:type="dxa"/>
            <w:tcBorders/>
            <w:vAlign w:val="center"/>
          </w:tcPr>
          <w:p>
            <w:pPr>
              <w:pStyle w:val="TableContents"/>
              <w:bidi w:val="0"/>
              <w:spacing w:before="0" w:after="283"/>
              <w:jc w:val="left"/>
              <w:rPr/>
            </w:pPr>
            <w:hyperlink w:anchor="notes_to_the_consolidated_financial">
              <w:r>
                <w:rPr>
                  <w:rStyle w:val="InternetLink"/>
                  <w:rFonts w:ascii="Times New Roman" w:hAnsi="Times New Roman"/>
                  <w:color w:val="0000FF"/>
                  <w:sz w:val="20"/>
                  <w:u w:val="single"/>
                </w:rPr>
                <w:t>Notes to the Consolidated Financial Statements</w:t>
              </w:r>
            </w:hyperlink>
          </w:p>
        </w:tc>
        <w:tc>
          <w:tcPr>
            <w:tcW w:w="361" w:type="dxa"/>
            <w:tcBorders/>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98</w:t>
            </w:r>
          </w:p>
        </w:tc>
      </w:tr>
    </w:tbl>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(a)(2) Financial Statement Schedules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accompanying notes included in this report.</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(a)(3)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Exhibits not filed or furnished herewith are incorporated by reference to exhibits previously filed with the SEC, as reflected in the table below. We will furnish a copy of any exhibit to stockholders, without charge upon written request to Lineage Cell Therapeutics, Inc., Attention: Corporate Secretary, 2173 Salk Avenue, Suite 200 Carlsbad, CA 92008, or by calling (442) 287-8990.</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6"/>
        <w:gridCol w:w="146"/>
        <w:gridCol w:w="5485"/>
        <w:gridCol w:w="146"/>
        <w:gridCol w:w="751"/>
        <w:gridCol w:w="146"/>
        <w:gridCol w:w="541"/>
        <w:gridCol w:w="146"/>
        <w:gridCol w:w="1161"/>
        <w:gridCol w:w="146"/>
        <w:gridCol w:w="771"/>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2" w:type="dxa"/>
            <w:gridSpan w:val="7"/>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Incorporation by Reference</w:t>
            </w:r>
          </w:p>
        </w:tc>
      </w:tr>
      <w:tr>
        <w:trPr/>
        <w:tc>
          <w:tcPr>
            <w:tcW w:w="76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w:t>
              <w:br/>
              <w:t>Number</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85"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Description</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w:t>
              <w:br/>
              <w:t>Number</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Filing</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Filing Date</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File No.</w:t>
            </w:r>
          </w:p>
        </w:tc>
      </w:tr>
      <w:tr>
        <w:trPr/>
        <w:tc>
          <w:tcPr>
            <w:tcW w:w="10205" w:type="dxa"/>
            <w:gridSpan w:val="11"/>
            <w:tcBorders/>
            <w:vAlign w:val="center"/>
          </w:tcPr>
          <w:p>
            <w:pPr>
              <w:pStyle w:val="TableContents"/>
              <w:bidi w:val="0"/>
              <w:spacing w:before="60" w:after="283"/>
              <w:jc w:val="left"/>
              <w:rPr>
                <w:rFonts w:ascii="Times New Roman" w:hAnsi="Times New Roman"/>
                <w:i/>
                <w:color w:val="000000"/>
                <w:sz w:val="18"/>
              </w:rPr>
            </w:pPr>
            <w:r>
              <w:rPr>
                <w:rFonts w:ascii="Times New Roman" w:hAnsi="Times New Roman"/>
                <w:i/>
                <w:color w:val="000000"/>
                <w:sz w:val="18"/>
              </w:rPr>
              <w:t>PLANS OF ACQUISITION</w:t>
            </w:r>
          </w:p>
        </w:tc>
      </w:tr>
      <w:tr>
        <w:trPr/>
        <w:tc>
          <w:tcPr>
            <w:tcW w:w="76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2.01^</w:t>
            </w:r>
          </w:p>
        </w:tc>
        <w:tc>
          <w:tcPr>
            <w:tcW w:w="146" w:type="dxa"/>
            <w:tcBorders/>
            <w:vAlign w:val="center"/>
          </w:tcPr>
          <w:p>
            <w:pPr>
              <w:pStyle w:val="TableContents"/>
              <w:bidi w:val="0"/>
              <w:spacing w:before="0" w:after="283"/>
              <w:jc w:val="left"/>
              <w:rPr>
                <w:sz w:val="4"/>
                <w:szCs w:val="4"/>
              </w:rPr>
            </w:pPr>
            <w:r>
              <w:rPr>
                <w:sz w:val="4"/>
                <w:szCs w:val="4"/>
              </w:rPr>
            </w:r>
          </w:p>
        </w:tc>
        <w:tc>
          <w:tcPr>
            <w:tcW w:w="5485" w:type="dxa"/>
            <w:tcBorders/>
            <w:vAlign w:val="center"/>
          </w:tcPr>
          <w:p>
            <w:pPr>
              <w:pStyle w:val="TableContents"/>
              <w:bidi w:val="0"/>
              <w:spacing w:before="60" w:after="283"/>
              <w:jc w:val="both"/>
              <w:rPr/>
            </w:pPr>
            <w:hyperlink r:id="rId9">
              <w:r>
                <w:rPr>
                  <w:rStyle w:val="InternetLink"/>
                  <w:rFonts w:ascii="Times New Roman" w:hAnsi="Times New Roman"/>
                  <w:color w:val="0000FF"/>
                  <w:sz w:val="18"/>
                  <w:u w:val="single"/>
                </w:rPr>
                <w:t>Agreement and Plan of Merger dated November 7, 2018, among Registrant, Patrick Merger Sub, Inc. and Asterias Biotherapeutics, Inc. (“Asterias”)</w:t>
              </w:r>
            </w:hyperlink>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2.1</w:t>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8-K</w:t>
            </w:r>
          </w:p>
        </w:tc>
        <w:tc>
          <w:tcPr>
            <w:tcW w:w="14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November 8, 2018</w:t>
            </w:r>
          </w:p>
        </w:tc>
        <w:tc>
          <w:tcPr>
            <w:tcW w:w="14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10205" w:type="dxa"/>
            <w:gridSpan w:val="11"/>
            <w:tcBorders/>
            <w:vAlign w:val="center"/>
          </w:tcPr>
          <w:p>
            <w:pPr>
              <w:pStyle w:val="TableContents"/>
              <w:bidi w:val="0"/>
              <w:spacing w:before="60" w:after="283"/>
              <w:jc w:val="left"/>
              <w:rPr>
                <w:rFonts w:ascii="Times New Roman" w:hAnsi="Times New Roman"/>
                <w:i/>
                <w:color w:val="000000"/>
                <w:sz w:val="18"/>
              </w:rPr>
            </w:pPr>
            <w:r>
              <w:rPr>
                <w:rFonts w:ascii="Times New Roman" w:hAnsi="Times New Roman"/>
                <w:i/>
                <w:color w:val="000000"/>
                <w:sz w:val="18"/>
              </w:rPr>
              <w:t>ARTICLES OF INCORPORATION AND BYLAWS</w:t>
            </w:r>
          </w:p>
        </w:tc>
      </w:tr>
      <w:tr>
        <w:trPr/>
        <w:tc>
          <w:tcPr>
            <w:tcW w:w="76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3.01</w:t>
            </w:r>
          </w:p>
        </w:tc>
        <w:tc>
          <w:tcPr>
            <w:tcW w:w="146" w:type="dxa"/>
            <w:tcBorders/>
            <w:vAlign w:val="center"/>
          </w:tcPr>
          <w:p>
            <w:pPr>
              <w:pStyle w:val="TableContents"/>
              <w:bidi w:val="0"/>
              <w:spacing w:before="0" w:after="283"/>
              <w:jc w:val="left"/>
              <w:rPr>
                <w:sz w:val="4"/>
                <w:szCs w:val="4"/>
              </w:rPr>
            </w:pPr>
            <w:r>
              <w:rPr>
                <w:sz w:val="4"/>
                <w:szCs w:val="4"/>
              </w:rPr>
            </w:r>
          </w:p>
        </w:tc>
        <w:tc>
          <w:tcPr>
            <w:tcW w:w="5485" w:type="dxa"/>
            <w:tcBorders/>
            <w:vAlign w:val="center"/>
          </w:tcPr>
          <w:p>
            <w:pPr>
              <w:pStyle w:val="TableContents"/>
              <w:bidi w:val="0"/>
              <w:spacing w:before="60" w:after="283"/>
              <w:jc w:val="both"/>
              <w:rPr/>
            </w:pPr>
            <w:hyperlink r:id="rId10">
              <w:r>
                <w:rPr>
                  <w:rStyle w:val="InternetLink"/>
                  <w:rFonts w:ascii="Times New Roman" w:hAnsi="Times New Roman"/>
                  <w:color w:val="0000FF"/>
                  <w:sz w:val="18"/>
                  <w:u w:val="single"/>
                </w:rPr>
                <w:t>Restated Articles of Incorporation, as amended</w:t>
              </w:r>
            </w:hyperlink>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3.1</w:t>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May 10, 2018</w:t>
            </w:r>
          </w:p>
        </w:tc>
        <w:tc>
          <w:tcPr>
            <w:tcW w:w="14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76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3.02</w:t>
            </w:r>
          </w:p>
        </w:tc>
        <w:tc>
          <w:tcPr>
            <w:tcW w:w="146" w:type="dxa"/>
            <w:tcBorders/>
            <w:vAlign w:val="center"/>
          </w:tcPr>
          <w:p>
            <w:pPr>
              <w:pStyle w:val="TableContents"/>
              <w:bidi w:val="0"/>
              <w:spacing w:before="0" w:after="283"/>
              <w:jc w:val="left"/>
              <w:rPr>
                <w:sz w:val="4"/>
                <w:szCs w:val="4"/>
              </w:rPr>
            </w:pPr>
            <w:r>
              <w:rPr>
                <w:sz w:val="4"/>
                <w:szCs w:val="4"/>
              </w:rPr>
            </w:r>
          </w:p>
        </w:tc>
        <w:tc>
          <w:tcPr>
            <w:tcW w:w="5485" w:type="dxa"/>
            <w:tcBorders/>
            <w:vAlign w:val="center"/>
          </w:tcPr>
          <w:p>
            <w:pPr>
              <w:pStyle w:val="TableContents"/>
              <w:bidi w:val="0"/>
              <w:spacing w:before="60" w:after="283"/>
              <w:jc w:val="both"/>
              <w:rPr/>
            </w:pPr>
            <w:hyperlink r:id="rId11">
              <w:r>
                <w:rPr>
                  <w:rStyle w:val="InternetLink"/>
                  <w:rFonts w:ascii="Times New Roman" w:hAnsi="Times New Roman"/>
                  <w:color w:val="0000FF"/>
                  <w:sz w:val="18"/>
                  <w:u w:val="single"/>
                </w:rPr>
                <w:t>Certificate of Ownership</w:t>
              </w:r>
            </w:hyperlink>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3.1</w:t>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8-K</w:t>
            </w:r>
          </w:p>
        </w:tc>
        <w:tc>
          <w:tcPr>
            <w:tcW w:w="14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August 12, 2019</w:t>
            </w:r>
          </w:p>
        </w:tc>
        <w:tc>
          <w:tcPr>
            <w:tcW w:w="14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76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3.03</w:t>
            </w:r>
          </w:p>
        </w:tc>
        <w:tc>
          <w:tcPr>
            <w:tcW w:w="146" w:type="dxa"/>
            <w:tcBorders/>
            <w:vAlign w:val="center"/>
          </w:tcPr>
          <w:p>
            <w:pPr>
              <w:pStyle w:val="TableContents"/>
              <w:bidi w:val="0"/>
              <w:spacing w:before="0" w:after="283"/>
              <w:jc w:val="left"/>
              <w:rPr>
                <w:sz w:val="4"/>
                <w:szCs w:val="4"/>
              </w:rPr>
            </w:pPr>
            <w:r>
              <w:rPr>
                <w:sz w:val="4"/>
                <w:szCs w:val="4"/>
              </w:rPr>
            </w:r>
          </w:p>
        </w:tc>
        <w:tc>
          <w:tcPr>
            <w:tcW w:w="5485" w:type="dxa"/>
            <w:tcBorders/>
            <w:vAlign w:val="center"/>
          </w:tcPr>
          <w:p>
            <w:pPr>
              <w:pStyle w:val="TableContents"/>
              <w:bidi w:val="0"/>
              <w:spacing w:before="60" w:after="283"/>
              <w:jc w:val="both"/>
              <w:rPr/>
            </w:pPr>
            <w:hyperlink r:id="rId12">
              <w:r>
                <w:rPr>
                  <w:rStyle w:val="InternetLink"/>
                  <w:rFonts w:ascii="Times New Roman" w:hAnsi="Times New Roman"/>
                  <w:color w:val="0000FF"/>
                  <w:sz w:val="18"/>
                  <w:u w:val="single"/>
                </w:rPr>
                <w:t>Amended and Restated Bylaws</w:t>
              </w:r>
            </w:hyperlink>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3.2</w:t>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8-K</w:t>
            </w:r>
          </w:p>
        </w:tc>
        <w:tc>
          <w:tcPr>
            <w:tcW w:w="14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August 12, 2019</w:t>
            </w:r>
          </w:p>
        </w:tc>
        <w:tc>
          <w:tcPr>
            <w:tcW w:w="14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10205" w:type="dxa"/>
            <w:gridSpan w:val="11"/>
            <w:tcBorders/>
            <w:vAlign w:val="center"/>
          </w:tcPr>
          <w:p>
            <w:pPr>
              <w:pStyle w:val="TableContents"/>
              <w:bidi w:val="0"/>
              <w:spacing w:before="60" w:after="283"/>
              <w:jc w:val="left"/>
              <w:rPr>
                <w:rFonts w:ascii="Times New Roman" w:hAnsi="Times New Roman"/>
                <w:i/>
                <w:color w:val="000000"/>
                <w:sz w:val="18"/>
              </w:rPr>
            </w:pPr>
            <w:r>
              <w:rPr>
                <w:rFonts w:ascii="Times New Roman" w:hAnsi="Times New Roman"/>
                <w:i/>
                <w:color w:val="000000"/>
                <w:sz w:val="18"/>
              </w:rPr>
              <w:t>INSTRUMENTS DEFINING RIGHTS OF SECURITY HOLDERS</w:t>
            </w:r>
          </w:p>
        </w:tc>
      </w:tr>
      <w:tr>
        <w:trPr/>
        <w:tc>
          <w:tcPr>
            <w:tcW w:w="76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4.01</w:t>
            </w:r>
          </w:p>
        </w:tc>
        <w:tc>
          <w:tcPr>
            <w:tcW w:w="146" w:type="dxa"/>
            <w:tcBorders/>
            <w:vAlign w:val="center"/>
          </w:tcPr>
          <w:p>
            <w:pPr>
              <w:pStyle w:val="TableContents"/>
              <w:bidi w:val="0"/>
              <w:spacing w:before="0" w:after="283"/>
              <w:jc w:val="left"/>
              <w:rPr>
                <w:sz w:val="4"/>
                <w:szCs w:val="4"/>
              </w:rPr>
            </w:pPr>
            <w:r>
              <w:rPr>
                <w:sz w:val="4"/>
                <w:szCs w:val="4"/>
              </w:rPr>
            </w:r>
          </w:p>
        </w:tc>
        <w:tc>
          <w:tcPr>
            <w:tcW w:w="5485" w:type="dxa"/>
            <w:tcBorders/>
            <w:vAlign w:val="center"/>
          </w:tcPr>
          <w:p>
            <w:pPr>
              <w:pStyle w:val="TableContents"/>
              <w:bidi w:val="0"/>
              <w:spacing w:before="60" w:after="283"/>
              <w:jc w:val="both"/>
              <w:rPr>
                <w:rFonts w:ascii="Times New Roman" w:hAnsi="Times New Roman"/>
                <w:color w:val="000000"/>
                <w:sz w:val="18"/>
              </w:rPr>
            </w:pPr>
            <w:r>
              <w:rPr>
                <w:rFonts w:ascii="Times New Roman" w:hAnsi="Times New Roman"/>
                <w:color w:val="000000"/>
                <w:sz w:val="18"/>
              </w:rPr>
              <w:t>Specimen of Common Share Certificate</w:t>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S-1</w:t>
            </w:r>
          </w:p>
        </w:tc>
        <w:tc>
          <w:tcPr>
            <w:tcW w:w="14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December 18, 1991</w:t>
            </w:r>
          </w:p>
        </w:tc>
        <w:tc>
          <w:tcPr>
            <w:tcW w:w="14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033-44549</w:t>
            </w:r>
          </w:p>
        </w:tc>
      </w:tr>
      <w:tr>
        <w:trPr/>
        <w:tc>
          <w:tcPr>
            <w:tcW w:w="76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4.02</w:t>
            </w:r>
          </w:p>
        </w:tc>
        <w:tc>
          <w:tcPr>
            <w:tcW w:w="146" w:type="dxa"/>
            <w:tcBorders/>
            <w:vAlign w:val="center"/>
          </w:tcPr>
          <w:p>
            <w:pPr>
              <w:pStyle w:val="TableContents"/>
              <w:bidi w:val="0"/>
              <w:spacing w:before="0" w:after="283"/>
              <w:jc w:val="left"/>
              <w:rPr>
                <w:sz w:val="4"/>
                <w:szCs w:val="4"/>
              </w:rPr>
            </w:pPr>
            <w:r>
              <w:rPr>
                <w:sz w:val="4"/>
                <w:szCs w:val="4"/>
              </w:rPr>
            </w:r>
          </w:p>
        </w:tc>
        <w:tc>
          <w:tcPr>
            <w:tcW w:w="5485" w:type="dxa"/>
            <w:tcBorders/>
            <w:vAlign w:val="center"/>
          </w:tcPr>
          <w:p>
            <w:pPr>
              <w:pStyle w:val="TableContents"/>
              <w:bidi w:val="0"/>
              <w:spacing w:before="60" w:after="283"/>
              <w:jc w:val="both"/>
              <w:rPr/>
            </w:pPr>
            <w:hyperlink r:id="rId13">
              <w:r>
                <w:rPr>
                  <w:rStyle w:val="InternetLink"/>
                  <w:rFonts w:ascii="Times New Roman" w:hAnsi="Times New Roman"/>
                  <w:color w:val="0000FF"/>
                  <w:sz w:val="18"/>
                  <w:u w:val="single"/>
                </w:rPr>
                <w:t>Description of Capital Stock of the Registrant</w:t>
              </w:r>
            </w:hyperlink>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60" w:after="283"/>
              <w:jc w:val="left"/>
              <w:rPr>
                <w:color w:val="000000"/>
              </w:rPr>
            </w:pPr>
            <w:r>
              <w:rPr>
                <w:color w:val="000000"/>
              </w:rPr>
              <w:t> </w:t>
            </w:r>
            <w:r>
              <w:rPr>
                <w:rFonts w:ascii="Times New Roman" w:hAnsi="Times New Roman"/>
                <w:color w:val="000000"/>
                <w:sz w:val="18"/>
              </w:rPr>
              <w:t>4.2</w:t>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 xml:space="preserve">10-K </w:t>
            </w:r>
          </w:p>
        </w:tc>
        <w:tc>
          <w:tcPr>
            <w:tcW w:w="14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 xml:space="preserve">March 11, 2021 </w:t>
            </w:r>
          </w:p>
        </w:tc>
        <w:tc>
          <w:tcPr>
            <w:tcW w:w="14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 xml:space="preserve">001-12830 </w:t>
            </w:r>
          </w:p>
        </w:tc>
      </w:tr>
      <w:tr>
        <w:trPr/>
        <w:tc>
          <w:tcPr>
            <w:tcW w:w="10205" w:type="dxa"/>
            <w:gridSpan w:val="11"/>
            <w:tcBorders/>
            <w:vAlign w:val="center"/>
          </w:tcPr>
          <w:p>
            <w:pPr>
              <w:pStyle w:val="TableContents"/>
              <w:bidi w:val="0"/>
              <w:spacing w:before="60" w:after="283"/>
              <w:jc w:val="left"/>
              <w:rPr>
                <w:rFonts w:ascii="Times New Roman" w:hAnsi="Times New Roman"/>
                <w:i/>
                <w:color w:val="000000"/>
                <w:sz w:val="18"/>
              </w:rPr>
            </w:pPr>
            <w:r>
              <w:rPr>
                <w:rFonts w:ascii="Times New Roman" w:hAnsi="Times New Roman"/>
                <w:i/>
                <w:color w:val="000000"/>
                <w:sz w:val="18"/>
              </w:rPr>
              <w:t>MANAGEMENT CONTRACTS AND COMPENSATORY PLANS</w:t>
            </w:r>
          </w:p>
        </w:tc>
      </w:tr>
      <w:tr>
        <w:trPr/>
        <w:tc>
          <w:tcPr>
            <w:tcW w:w="76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10.01+</w:t>
            </w:r>
          </w:p>
        </w:tc>
        <w:tc>
          <w:tcPr>
            <w:tcW w:w="146" w:type="dxa"/>
            <w:tcBorders/>
            <w:vAlign w:val="center"/>
          </w:tcPr>
          <w:p>
            <w:pPr>
              <w:pStyle w:val="TableContents"/>
              <w:bidi w:val="0"/>
              <w:spacing w:before="0" w:after="283"/>
              <w:jc w:val="left"/>
              <w:rPr>
                <w:sz w:val="4"/>
                <w:szCs w:val="4"/>
              </w:rPr>
            </w:pPr>
            <w:r>
              <w:rPr>
                <w:sz w:val="4"/>
                <w:szCs w:val="4"/>
              </w:rPr>
            </w:r>
          </w:p>
        </w:tc>
        <w:tc>
          <w:tcPr>
            <w:tcW w:w="5485" w:type="dxa"/>
            <w:tcBorders/>
            <w:vAlign w:val="center"/>
          </w:tcPr>
          <w:p>
            <w:pPr>
              <w:pStyle w:val="TableContents"/>
              <w:bidi w:val="0"/>
              <w:spacing w:before="60" w:after="283"/>
              <w:jc w:val="both"/>
              <w:rPr/>
            </w:pPr>
            <w:hyperlink r:id="rId14">
              <w:r>
                <w:rPr>
                  <w:rStyle w:val="InternetLink"/>
                  <w:rFonts w:ascii="Times New Roman" w:hAnsi="Times New Roman"/>
                  <w:color w:val="0000FF"/>
                  <w:sz w:val="18"/>
                  <w:u w:val="single"/>
                </w:rPr>
                <w:t>Form of Indemnification Agreement entered into between the Registrant and its Directors and Officers</w:t>
              </w:r>
            </w:hyperlink>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w:t>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August 11, 2022</w:t>
            </w:r>
          </w:p>
        </w:tc>
        <w:tc>
          <w:tcPr>
            <w:tcW w:w="14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76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10.02+</w:t>
            </w:r>
          </w:p>
        </w:tc>
        <w:tc>
          <w:tcPr>
            <w:tcW w:w="146" w:type="dxa"/>
            <w:tcBorders/>
            <w:vAlign w:val="center"/>
          </w:tcPr>
          <w:p>
            <w:pPr>
              <w:pStyle w:val="TableContents"/>
              <w:bidi w:val="0"/>
              <w:spacing w:before="60" w:after="283"/>
              <w:jc w:val="left"/>
              <w:rPr/>
            </w:pPr>
            <w:r>
              <w:rPr/>
              <w:t> </w:t>
            </w:r>
          </w:p>
        </w:tc>
        <w:tc>
          <w:tcPr>
            <w:tcW w:w="5485" w:type="dxa"/>
            <w:tcBorders/>
            <w:vAlign w:val="center"/>
          </w:tcPr>
          <w:p>
            <w:pPr>
              <w:pStyle w:val="TableContents"/>
              <w:bidi w:val="0"/>
              <w:spacing w:before="60" w:after="283"/>
              <w:jc w:val="both"/>
              <w:rPr/>
            </w:pPr>
            <w:hyperlink r:id="rId15">
              <w:r>
                <w:rPr>
                  <w:rStyle w:val="InternetLink"/>
                  <w:rFonts w:ascii="Times New Roman" w:hAnsi="Times New Roman"/>
                  <w:color w:val="0000FF"/>
                  <w:sz w:val="18"/>
                  <w:u w:val="single"/>
                </w:rPr>
                <w:t>Amended and Restated Employment Agreement dated September 26, 2022 between Registrant and Brian Michael Culley</w:t>
              </w:r>
            </w:hyperlink>
          </w:p>
        </w:tc>
        <w:tc>
          <w:tcPr>
            <w:tcW w:w="146" w:type="dxa"/>
            <w:tcBorders/>
            <w:vAlign w:val="center"/>
          </w:tcPr>
          <w:p>
            <w:pPr>
              <w:pStyle w:val="TableContents"/>
              <w:bidi w:val="0"/>
              <w:spacing w:before="60" w:after="283"/>
              <w:jc w:val="left"/>
              <w:rPr/>
            </w:pPr>
            <w:r>
              <w:rPr/>
              <w:t> </w:t>
            </w:r>
          </w:p>
        </w:tc>
        <w:tc>
          <w:tcPr>
            <w:tcW w:w="75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10.2</w:t>
            </w:r>
          </w:p>
        </w:tc>
        <w:tc>
          <w:tcPr>
            <w:tcW w:w="146" w:type="dxa"/>
            <w:tcBorders/>
            <w:vAlign w:val="center"/>
          </w:tcPr>
          <w:p>
            <w:pPr>
              <w:pStyle w:val="TableContents"/>
              <w:bidi w:val="0"/>
              <w:spacing w:before="60" w:after="283"/>
              <w:jc w:val="left"/>
              <w:rPr/>
            </w:pPr>
            <w:r>
              <w:rPr/>
              <w:t> </w:t>
            </w:r>
          </w:p>
        </w:tc>
        <w:tc>
          <w:tcPr>
            <w:tcW w:w="54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vAlign w:val="center"/>
          </w:tcPr>
          <w:p>
            <w:pPr>
              <w:pStyle w:val="TableContents"/>
              <w:bidi w:val="0"/>
              <w:spacing w:before="60" w:after="283"/>
              <w:jc w:val="left"/>
              <w:rPr/>
            </w:pPr>
            <w:r>
              <w:rPr/>
              <w:t> </w:t>
            </w:r>
          </w:p>
        </w:tc>
        <w:tc>
          <w:tcPr>
            <w:tcW w:w="116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November 10, 2022</w:t>
            </w:r>
          </w:p>
        </w:tc>
        <w:tc>
          <w:tcPr>
            <w:tcW w:w="146" w:type="dxa"/>
            <w:tcBorders/>
            <w:vAlign w:val="center"/>
          </w:tcPr>
          <w:p>
            <w:pPr>
              <w:pStyle w:val="TableContents"/>
              <w:bidi w:val="0"/>
              <w:spacing w:before="60" w:after="283"/>
              <w:jc w:val="left"/>
              <w:rPr/>
            </w:pPr>
            <w:r>
              <w:rPr/>
              <w:t> </w:t>
            </w:r>
          </w:p>
        </w:tc>
        <w:tc>
          <w:tcPr>
            <w:tcW w:w="77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76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10.03+</w:t>
            </w:r>
          </w:p>
        </w:tc>
        <w:tc>
          <w:tcPr>
            <w:tcW w:w="146" w:type="dxa"/>
            <w:tcBorders/>
            <w:vAlign w:val="center"/>
          </w:tcPr>
          <w:p>
            <w:pPr>
              <w:pStyle w:val="TableContents"/>
              <w:bidi w:val="0"/>
              <w:spacing w:before="60" w:after="283"/>
              <w:jc w:val="left"/>
              <w:rPr/>
            </w:pPr>
            <w:r>
              <w:rPr/>
              <w:t> </w:t>
            </w:r>
          </w:p>
        </w:tc>
        <w:tc>
          <w:tcPr>
            <w:tcW w:w="5485" w:type="dxa"/>
            <w:tcBorders/>
            <w:vAlign w:val="center"/>
          </w:tcPr>
          <w:p>
            <w:pPr>
              <w:pStyle w:val="TableContents"/>
              <w:bidi w:val="0"/>
              <w:spacing w:before="60" w:after="283"/>
              <w:jc w:val="both"/>
              <w:rPr/>
            </w:pPr>
            <w:hyperlink r:id="rId16">
              <w:r>
                <w:rPr>
                  <w:rStyle w:val="InternetLink"/>
                  <w:rFonts w:ascii="Times New Roman" w:hAnsi="Times New Roman"/>
                  <w:color w:val="0000FF"/>
                  <w:sz w:val="18"/>
                  <w:u w:val="single"/>
                </w:rPr>
                <w:t>Amended and Restated Employment Agreement dated September 26, 2022 between Registrant and George A. Samuel III</w:t>
              </w:r>
            </w:hyperlink>
          </w:p>
        </w:tc>
        <w:tc>
          <w:tcPr>
            <w:tcW w:w="146" w:type="dxa"/>
            <w:tcBorders/>
            <w:vAlign w:val="center"/>
          </w:tcPr>
          <w:p>
            <w:pPr>
              <w:pStyle w:val="TableContents"/>
              <w:bidi w:val="0"/>
              <w:spacing w:before="60" w:after="283"/>
              <w:jc w:val="left"/>
              <w:rPr/>
            </w:pPr>
            <w:r>
              <w:rPr/>
              <w:t> </w:t>
            </w:r>
          </w:p>
        </w:tc>
        <w:tc>
          <w:tcPr>
            <w:tcW w:w="75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10.3</w:t>
            </w:r>
          </w:p>
        </w:tc>
        <w:tc>
          <w:tcPr>
            <w:tcW w:w="146" w:type="dxa"/>
            <w:tcBorders/>
            <w:vAlign w:val="center"/>
          </w:tcPr>
          <w:p>
            <w:pPr>
              <w:pStyle w:val="TableContents"/>
              <w:bidi w:val="0"/>
              <w:spacing w:before="60" w:after="283"/>
              <w:jc w:val="left"/>
              <w:rPr/>
            </w:pPr>
            <w:r>
              <w:rPr/>
              <w:t> </w:t>
            </w:r>
          </w:p>
        </w:tc>
        <w:tc>
          <w:tcPr>
            <w:tcW w:w="54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vAlign w:val="center"/>
          </w:tcPr>
          <w:p>
            <w:pPr>
              <w:pStyle w:val="TableContents"/>
              <w:bidi w:val="0"/>
              <w:spacing w:before="60" w:after="283"/>
              <w:jc w:val="left"/>
              <w:rPr/>
            </w:pPr>
            <w:r>
              <w:rPr/>
              <w:t> </w:t>
            </w:r>
          </w:p>
        </w:tc>
        <w:tc>
          <w:tcPr>
            <w:tcW w:w="116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November 10, 2022</w:t>
            </w:r>
          </w:p>
        </w:tc>
        <w:tc>
          <w:tcPr>
            <w:tcW w:w="146" w:type="dxa"/>
            <w:tcBorders/>
            <w:vAlign w:val="center"/>
          </w:tcPr>
          <w:p>
            <w:pPr>
              <w:pStyle w:val="TableContents"/>
              <w:bidi w:val="0"/>
              <w:spacing w:before="60" w:after="283"/>
              <w:jc w:val="left"/>
              <w:rPr/>
            </w:pPr>
            <w:r>
              <w:rPr/>
              <w:t> </w:t>
            </w:r>
          </w:p>
        </w:tc>
        <w:tc>
          <w:tcPr>
            <w:tcW w:w="77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76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10.04+</w:t>
            </w:r>
          </w:p>
        </w:tc>
        <w:tc>
          <w:tcPr>
            <w:tcW w:w="146" w:type="dxa"/>
            <w:tcBorders/>
            <w:vAlign w:val="center"/>
          </w:tcPr>
          <w:p>
            <w:pPr>
              <w:pStyle w:val="TableContents"/>
              <w:bidi w:val="0"/>
              <w:spacing w:before="60" w:after="283"/>
              <w:jc w:val="left"/>
              <w:rPr/>
            </w:pPr>
            <w:r>
              <w:rPr/>
              <w:t> </w:t>
            </w:r>
          </w:p>
        </w:tc>
        <w:tc>
          <w:tcPr>
            <w:tcW w:w="5485" w:type="dxa"/>
            <w:tcBorders/>
            <w:vAlign w:val="center"/>
          </w:tcPr>
          <w:p>
            <w:pPr>
              <w:pStyle w:val="TableContents"/>
              <w:bidi w:val="0"/>
              <w:spacing w:before="60" w:after="283"/>
              <w:jc w:val="both"/>
              <w:rPr/>
            </w:pPr>
            <w:hyperlink r:id="rId17">
              <w:r>
                <w:rPr>
                  <w:rStyle w:val="InternetLink"/>
                  <w:rFonts w:ascii="Times New Roman" w:hAnsi="Times New Roman"/>
                  <w:color w:val="0000FF"/>
                  <w:sz w:val="18"/>
                  <w:u w:val="single"/>
                </w:rPr>
                <w:t>Amended and Restated Employment Agreement dated September 26, 2022 between Registrant and Gary S. Hogge</w:t>
              </w:r>
            </w:hyperlink>
          </w:p>
        </w:tc>
        <w:tc>
          <w:tcPr>
            <w:tcW w:w="146" w:type="dxa"/>
            <w:tcBorders/>
            <w:vAlign w:val="center"/>
          </w:tcPr>
          <w:p>
            <w:pPr>
              <w:pStyle w:val="TableContents"/>
              <w:bidi w:val="0"/>
              <w:spacing w:before="60" w:after="283"/>
              <w:jc w:val="left"/>
              <w:rPr/>
            </w:pPr>
            <w:r>
              <w:rPr/>
              <w:t> </w:t>
            </w:r>
          </w:p>
        </w:tc>
        <w:tc>
          <w:tcPr>
            <w:tcW w:w="75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10.4</w:t>
            </w:r>
          </w:p>
        </w:tc>
        <w:tc>
          <w:tcPr>
            <w:tcW w:w="146" w:type="dxa"/>
            <w:tcBorders/>
            <w:vAlign w:val="center"/>
          </w:tcPr>
          <w:p>
            <w:pPr>
              <w:pStyle w:val="TableContents"/>
              <w:bidi w:val="0"/>
              <w:spacing w:before="60" w:after="283"/>
              <w:jc w:val="left"/>
              <w:rPr/>
            </w:pPr>
            <w:r>
              <w:rPr/>
              <w:t> </w:t>
            </w:r>
          </w:p>
        </w:tc>
        <w:tc>
          <w:tcPr>
            <w:tcW w:w="54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vAlign w:val="center"/>
          </w:tcPr>
          <w:p>
            <w:pPr>
              <w:pStyle w:val="TableContents"/>
              <w:bidi w:val="0"/>
              <w:spacing w:before="60" w:after="283"/>
              <w:jc w:val="left"/>
              <w:rPr/>
            </w:pPr>
            <w:r>
              <w:rPr/>
              <w:t> </w:t>
            </w:r>
          </w:p>
        </w:tc>
        <w:tc>
          <w:tcPr>
            <w:tcW w:w="116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November 10, 2022</w:t>
            </w:r>
          </w:p>
        </w:tc>
        <w:tc>
          <w:tcPr>
            <w:tcW w:w="146" w:type="dxa"/>
            <w:tcBorders/>
            <w:vAlign w:val="center"/>
          </w:tcPr>
          <w:p>
            <w:pPr>
              <w:pStyle w:val="TableContents"/>
              <w:bidi w:val="0"/>
              <w:spacing w:before="60" w:after="283"/>
              <w:jc w:val="left"/>
              <w:rPr/>
            </w:pPr>
            <w:r>
              <w:rPr/>
              <w:t> </w:t>
            </w:r>
          </w:p>
        </w:tc>
        <w:tc>
          <w:tcPr>
            <w:tcW w:w="77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4"/>
        <w:gridCol w:w="146"/>
        <w:gridCol w:w="5932"/>
        <w:gridCol w:w="146"/>
        <w:gridCol w:w="511"/>
        <w:gridCol w:w="146"/>
        <w:gridCol w:w="396"/>
        <w:gridCol w:w="146"/>
        <w:gridCol w:w="1107"/>
        <w:gridCol w:w="146"/>
        <w:gridCol w:w="815"/>
      </w:tblGrid>
      <w:tr>
        <w:trPr/>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714"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10.04(a)*+</w:t>
            </w:r>
          </w:p>
        </w:tc>
        <w:tc>
          <w:tcPr>
            <w:tcW w:w="146" w:type="dxa"/>
            <w:tcBorders/>
            <w:vAlign w:val="center"/>
          </w:tcPr>
          <w:p>
            <w:pPr>
              <w:pStyle w:val="TableContents"/>
              <w:bidi w:val="0"/>
              <w:spacing w:before="60" w:after="283"/>
              <w:jc w:val="left"/>
              <w:rPr/>
            </w:pPr>
            <w:r>
              <w:rPr/>
              <w:t> </w:t>
            </w:r>
          </w:p>
        </w:tc>
        <w:tc>
          <w:tcPr>
            <w:tcW w:w="5932" w:type="dxa"/>
            <w:tcBorders/>
            <w:vAlign w:val="center"/>
          </w:tcPr>
          <w:p>
            <w:pPr>
              <w:pStyle w:val="TableContents"/>
              <w:bidi w:val="0"/>
              <w:spacing w:before="60" w:after="283"/>
              <w:jc w:val="both"/>
              <w:rPr/>
            </w:pPr>
            <w:hyperlink w:anchor="lctx-ex10_04a.htm">
              <w:r>
                <w:rPr>
                  <w:rStyle w:val="InternetLink"/>
                  <w:rFonts w:ascii="Times New Roman" w:hAnsi="Times New Roman"/>
                  <w:color w:val="0000FF"/>
                  <w:sz w:val="18"/>
                  <w:u w:val="single"/>
                </w:rPr>
                <w:t>Separation, Release and Consulting Agreement dated November 30, 2023 between Registrant and Gary S. Hogge</w:t>
              </w:r>
            </w:hyperlink>
          </w:p>
        </w:tc>
        <w:tc>
          <w:tcPr>
            <w:tcW w:w="146" w:type="dxa"/>
            <w:tcBorders/>
            <w:vAlign w:val="center"/>
          </w:tcPr>
          <w:p>
            <w:pPr>
              <w:pStyle w:val="TableContents"/>
              <w:bidi w:val="0"/>
              <w:spacing w:before="60" w:after="283"/>
              <w:jc w:val="left"/>
              <w:rPr/>
            </w:pPr>
            <w:r>
              <w:rPr/>
              <w:t> </w:t>
            </w:r>
          </w:p>
        </w:tc>
        <w:tc>
          <w:tcPr>
            <w:tcW w:w="511" w:type="dxa"/>
            <w:tcBorders/>
            <w:vAlign w:val="center"/>
          </w:tcPr>
          <w:p>
            <w:pPr>
              <w:pStyle w:val="TableContents"/>
              <w:bidi w:val="0"/>
              <w:spacing w:before="60" w:after="283"/>
              <w:jc w:val="left"/>
              <w:rPr/>
            </w:pPr>
            <w:r>
              <w:rPr/>
              <w:t> </w:t>
            </w:r>
          </w:p>
        </w:tc>
        <w:tc>
          <w:tcPr>
            <w:tcW w:w="146" w:type="dxa"/>
            <w:tcBorders/>
            <w:vAlign w:val="center"/>
          </w:tcPr>
          <w:p>
            <w:pPr>
              <w:pStyle w:val="TableContents"/>
              <w:bidi w:val="0"/>
              <w:spacing w:before="60" w:after="283"/>
              <w:jc w:val="left"/>
              <w:rPr/>
            </w:pPr>
            <w:r>
              <w:rPr/>
              <w:t> </w:t>
            </w:r>
          </w:p>
        </w:tc>
        <w:tc>
          <w:tcPr>
            <w:tcW w:w="396" w:type="dxa"/>
            <w:tcBorders/>
            <w:vAlign w:val="center"/>
          </w:tcPr>
          <w:p>
            <w:pPr>
              <w:pStyle w:val="TableContents"/>
              <w:bidi w:val="0"/>
              <w:spacing w:before="60" w:after="283"/>
              <w:jc w:val="left"/>
              <w:rPr/>
            </w:pPr>
            <w:r>
              <w:rPr/>
              <w:t> </w:t>
            </w:r>
          </w:p>
        </w:tc>
        <w:tc>
          <w:tcPr>
            <w:tcW w:w="146" w:type="dxa"/>
            <w:tcBorders/>
            <w:vAlign w:val="center"/>
          </w:tcPr>
          <w:p>
            <w:pPr>
              <w:pStyle w:val="TableContents"/>
              <w:bidi w:val="0"/>
              <w:spacing w:before="60" w:after="283"/>
              <w:jc w:val="left"/>
              <w:rPr/>
            </w:pPr>
            <w:r>
              <w:rPr/>
              <w:t> </w:t>
            </w:r>
          </w:p>
        </w:tc>
        <w:tc>
          <w:tcPr>
            <w:tcW w:w="1107" w:type="dxa"/>
            <w:tcBorders/>
            <w:vAlign w:val="center"/>
          </w:tcPr>
          <w:p>
            <w:pPr>
              <w:pStyle w:val="TableContents"/>
              <w:bidi w:val="0"/>
              <w:spacing w:before="60" w:after="283"/>
              <w:jc w:val="left"/>
              <w:rPr/>
            </w:pPr>
            <w:r>
              <w:rPr/>
              <w:t> </w:t>
            </w:r>
          </w:p>
        </w:tc>
        <w:tc>
          <w:tcPr>
            <w:tcW w:w="146" w:type="dxa"/>
            <w:tcBorders/>
            <w:vAlign w:val="center"/>
          </w:tcPr>
          <w:p>
            <w:pPr>
              <w:pStyle w:val="TableContents"/>
              <w:bidi w:val="0"/>
              <w:spacing w:before="60" w:after="283"/>
              <w:jc w:val="left"/>
              <w:rPr/>
            </w:pPr>
            <w:r>
              <w:rPr/>
              <w:t> </w:t>
            </w:r>
          </w:p>
        </w:tc>
        <w:tc>
          <w:tcPr>
            <w:tcW w:w="815" w:type="dxa"/>
            <w:tcBorders/>
            <w:vAlign w:val="center"/>
          </w:tcPr>
          <w:p>
            <w:pPr>
              <w:pStyle w:val="TableContents"/>
              <w:bidi w:val="0"/>
              <w:spacing w:before="60" w:after="283"/>
              <w:jc w:val="left"/>
              <w:rPr/>
            </w:pPr>
            <w:r>
              <w:rPr/>
              <w:t> </w:t>
            </w:r>
          </w:p>
        </w:tc>
      </w:tr>
      <w:tr>
        <w:trPr/>
        <w:tc>
          <w:tcPr>
            <w:tcW w:w="714"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10.04(b)*+</w:t>
            </w:r>
          </w:p>
        </w:tc>
        <w:tc>
          <w:tcPr>
            <w:tcW w:w="146" w:type="dxa"/>
            <w:tcBorders/>
            <w:vAlign w:val="center"/>
          </w:tcPr>
          <w:p>
            <w:pPr>
              <w:pStyle w:val="TableContents"/>
              <w:bidi w:val="0"/>
              <w:spacing w:before="60" w:after="283"/>
              <w:jc w:val="left"/>
              <w:rPr/>
            </w:pPr>
            <w:r>
              <w:rPr/>
              <w:t> </w:t>
            </w:r>
          </w:p>
        </w:tc>
        <w:tc>
          <w:tcPr>
            <w:tcW w:w="5932" w:type="dxa"/>
            <w:tcBorders/>
            <w:vAlign w:val="center"/>
          </w:tcPr>
          <w:p>
            <w:pPr>
              <w:pStyle w:val="TableContents"/>
              <w:bidi w:val="0"/>
              <w:spacing w:before="60" w:after="283"/>
              <w:jc w:val="both"/>
              <w:rPr/>
            </w:pPr>
            <w:hyperlink w:anchor="lctx-ex10_04b.htm">
              <w:r>
                <w:rPr>
                  <w:rStyle w:val="InternetLink"/>
                  <w:rFonts w:ascii="Times New Roman" w:hAnsi="Times New Roman"/>
                  <w:color w:val="0000FF"/>
                  <w:sz w:val="20"/>
                  <w:u w:val="single"/>
                </w:rPr>
                <w:t>Amendment to Stock Option Agreements dated December 4, 2023 between Registrant and Gary S. Hogge</w:t>
              </w:r>
            </w:hyperlink>
          </w:p>
        </w:tc>
        <w:tc>
          <w:tcPr>
            <w:tcW w:w="146" w:type="dxa"/>
            <w:tcBorders/>
            <w:vAlign w:val="center"/>
          </w:tcPr>
          <w:p>
            <w:pPr>
              <w:pStyle w:val="TableContents"/>
              <w:bidi w:val="0"/>
              <w:spacing w:before="60" w:after="283"/>
              <w:jc w:val="left"/>
              <w:rPr/>
            </w:pPr>
            <w:r>
              <w:rPr/>
              <w:t> </w:t>
            </w:r>
          </w:p>
        </w:tc>
        <w:tc>
          <w:tcPr>
            <w:tcW w:w="511" w:type="dxa"/>
            <w:tcBorders/>
            <w:vAlign w:val="center"/>
          </w:tcPr>
          <w:p>
            <w:pPr>
              <w:pStyle w:val="TableContents"/>
              <w:bidi w:val="0"/>
              <w:spacing w:before="60" w:after="283"/>
              <w:jc w:val="left"/>
              <w:rPr/>
            </w:pPr>
            <w:r>
              <w:rPr/>
              <w:t> </w:t>
            </w:r>
          </w:p>
        </w:tc>
        <w:tc>
          <w:tcPr>
            <w:tcW w:w="146" w:type="dxa"/>
            <w:tcBorders/>
            <w:vAlign w:val="center"/>
          </w:tcPr>
          <w:p>
            <w:pPr>
              <w:pStyle w:val="TableContents"/>
              <w:bidi w:val="0"/>
              <w:spacing w:before="60" w:after="283"/>
              <w:jc w:val="left"/>
              <w:rPr/>
            </w:pPr>
            <w:r>
              <w:rPr/>
              <w:t> </w:t>
            </w:r>
          </w:p>
        </w:tc>
        <w:tc>
          <w:tcPr>
            <w:tcW w:w="396" w:type="dxa"/>
            <w:tcBorders/>
            <w:vAlign w:val="center"/>
          </w:tcPr>
          <w:p>
            <w:pPr>
              <w:pStyle w:val="TableContents"/>
              <w:bidi w:val="0"/>
              <w:spacing w:before="60" w:after="283"/>
              <w:jc w:val="left"/>
              <w:rPr/>
            </w:pPr>
            <w:r>
              <w:rPr/>
              <w:t> </w:t>
            </w:r>
          </w:p>
        </w:tc>
        <w:tc>
          <w:tcPr>
            <w:tcW w:w="146" w:type="dxa"/>
            <w:tcBorders/>
            <w:vAlign w:val="center"/>
          </w:tcPr>
          <w:p>
            <w:pPr>
              <w:pStyle w:val="TableContents"/>
              <w:bidi w:val="0"/>
              <w:spacing w:before="60" w:after="283"/>
              <w:jc w:val="left"/>
              <w:rPr/>
            </w:pPr>
            <w:r>
              <w:rPr/>
              <w:t> </w:t>
            </w:r>
          </w:p>
        </w:tc>
        <w:tc>
          <w:tcPr>
            <w:tcW w:w="1107" w:type="dxa"/>
            <w:tcBorders/>
            <w:vAlign w:val="center"/>
          </w:tcPr>
          <w:p>
            <w:pPr>
              <w:pStyle w:val="TableContents"/>
              <w:bidi w:val="0"/>
              <w:spacing w:before="60" w:after="283"/>
              <w:jc w:val="left"/>
              <w:rPr/>
            </w:pPr>
            <w:r>
              <w:rPr/>
              <w:t> </w:t>
            </w:r>
          </w:p>
        </w:tc>
        <w:tc>
          <w:tcPr>
            <w:tcW w:w="146" w:type="dxa"/>
            <w:tcBorders/>
            <w:vAlign w:val="center"/>
          </w:tcPr>
          <w:p>
            <w:pPr>
              <w:pStyle w:val="TableContents"/>
              <w:bidi w:val="0"/>
              <w:spacing w:before="60" w:after="283"/>
              <w:jc w:val="left"/>
              <w:rPr/>
            </w:pPr>
            <w:r>
              <w:rPr/>
              <w:t> </w:t>
            </w:r>
          </w:p>
        </w:tc>
        <w:tc>
          <w:tcPr>
            <w:tcW w:w="815" w:type="dxa"/>
            <w:tcBorders/>
            <w:vAlign w:val="center"/>
          </w:tcPr>
          <w:p>
            <w:pPr>
              <w:pStyle w:val="TableContents"/>
              <w:bidi w:val="0"/>
              <w:spacing w:before="60" w:after="283"/>
              <w:jc w:val="left"/>
              <w:rPr/>
            </w:pPr>
            <w:r>
              <w:rPr/>
              <w:t> </w:t>
            </w:r>
          </w:p>
        </w:tc>
      </w:tr>
      <w:tr>
        <w:trPr/>
        <w:tc>
          <w:tcPr>
            <w:tcW w:w="714"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10.05+</w:t>
            </w:r>
          </w:p>
        </w:tc>
        <w:tc>
          <w:tcPr>
            <w:tcW w:w="146" w:type="dxa"/>
            <w:tcBorders/>
            <w:vAlign w:val="center"/>
          </w:tcPr>
          <w:p>
            <w:pPr>
              <w:pStyle w:val="TableContents"/>
              <w:bidi w:val="0"/>
              <w:spacing w:before="60" w:after="283"/>
              <w:jc w:val="left"/>
              <w:rPr/>
            </w:pPr>
            <w:r>
              <w:rPr/>
              <w:t> </w:t>
            </w:r>
          </w:p>
        </w:tc>
        <w:tc>
          <w:tcPr>
            <w:tcW w:w="5932" w:type="dxa"/>
            <w:tcBorders/>
            <w:vAlign w:val="center"/>
          </w:tcPr>
          <w:p>
            <w:pPr>
              <w:pStyle w:val="TableContents"/>
              <w:bidi w:val="0"/>
              <w:spacing w:before="60" w:after="283"/>
              <w:jc w:val="both"/>
              <w:rPr/>
            </w:pPr>
            <w:hyperlink r:id="rId18">
              <w:r>
                <w:rPr>
                  <w:rStyle w:val="InternetLink"/>
                  <w:rFonts w:ascii="Times New Roman" w:hAnsi="Times New Roman"/>
                  <w:color w:val="0000FF"/>
                  <w:sz w:val="20"/>
                  <w:u w:val="single"/>
                </w:rPr>
                <w:t>Employment Agreement dated November 14, 2022 between Registrant and Jill A. Howe</w:t>
              </w:r>
            </w:hyperlink>
            <w:hyperlink r:id="rId19">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60" w:after="283"/>
              <w:jc w:val="left"/>
              <w:rPr/>
            </w:pPr>
            <w:r>
              <w:rPr/>
              <w:t> </w:t>
            </w:r>
          </w:p>
        </w:tc>
        <w:tc>
          <w:tcPr>
            <w:tcW w:w="51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10.7</w:t>
            </w:r>
          </w:p>
        </w:tc>
        <w:tc>
          <w:tcPr>
            <w:tcW w:w="146" w:type="dxa"/>
            <w:tcBorders/>
            <w:vAlign w:val="center"/>
          </w:tcPr>
          <w:p>
            <w:pPr>
              <w:pStyle w:val="TableContents"/>
              <w:bidi w:val="0"/>
              <w:spacing w:before="60" w:after="283"/>
              <w:jc w:val="left"/>
              <w:rPr/>
            </w:pPr>
            <w:r>
              <w:rPr/>
              <w:t> </w:t>
            </w:r>
          </w:p>
        </w:tc>
        <w:tc>
          <w:tcPr>
            <w:tcW w:w="39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10-K</w:t>
            </w:r>
          </w:p>
        </w:tc>
        <w:tc>
          <w:tcPr>
            <w:tcW w:w="146" w:type="dxa"/>
            <w:tcBorders/>
            <w:vAlign w:val="center"/>
          </w:tcPr>
          <w:p>
            <w:pPr>
              <w:pStyle w:val="TableContents"/>
              <w:bidi w:val="0"/>
              <w:spacing w:before="60" w:after="283"/>
              <w:jc w:val="left"/>
              <w:rPr/>
            </w:pPr>
            <w:r>
              <w:rPr/>
              <w:t> </w:t>
            </w:r>
          </w:p>
        </w:tc>
        <w:tc>
          <w:tcPr>
            <w:tcW w:w="1107"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March 9, 2023</w:t>
            </w:r>
          </w:p>
        </w:tc>
        <w:tc>
          <w:tcPr>
            <w:tcW w:w="146" w:type="dxa"/>
            <w:tcBorders/>
            <w:vAlign w:val="center"/>
          </w:tcPr>
          <w:p>
            <w:pPr>
              <w:pStyle w:val="TableContents"/>
              <w:bidi w:val="0"/>
              <w:spacing w:before="60" w:after="283"/>
              <w:jc w:val="left"/>
              <w:rPr/>
            </w:pPr>
            <w:r>
              <w:rPr/>
              <w:t> </w:t>
            </w:r>
          </w:p>
        </w:tc>
        <w:tc>
          <w:tcPr>
            <w:tcW w:w="81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714"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10.06+</w:t>
            </w:r>
          </w:p>
        </w:tc>
        <w:tc>
          <w:tcPr>
            <w:tcW w:w="146" w:type="dxa"/>
            <w:tcBorders/>
            <w:vAlign w:val="center"/>
          </w:tcPr>
          <w:p>
            <w:pPr>
              <w:pStyle w:val="TableContents"/>
              <w:bidi w:val="0"/>
              <w:spacing w:before="60" w:after="283"/>
              <w:jc w:val="left"/>
              <w:rPr/>
            </w:pPr>
            <w:r>
              <w:rPr/>
              <w:t> </w:t>
            </w:r>
          </w:p>
        </w:tc>
        <w:tc>
          <w:tcPr>
            <w:tcW w:w="5932" w:type="dxa"/>
            <w:tcBorders/>
            <w:vAlign w:val="center"/>
          </w:tcPr>
          <w:p>
            <w:pPr>
              <w:pStyle w:val="TableContents"/>
              <w:bidi w:val="0"/>
              <w:spacing w:before="60" w:after="283"/>
              <w:jc w:val="both"/>
              <w:rPr/>
            </w:pPr>
            <w:hyperlink r:id="rId20">
              <w:r>
                <w:rPr>
                  <w:rStyle w:val="InternetLink"/>
                  <w:rFonts w:ascii="Times New Roman" w:hAnsi="Times New Roman"/>
                  <w:color w:val="0000FF"/>
                  <w:sz w:val="18"/>
                  <w:u w:val="single"/>
                </w:rPr>
                <w:t>Inducement Stock Option Agreement between Registrant and Brian Culley</w:t>
              </w:r>
            </w:hyperlink>
          </w:p>
        </w:tc>
        <w:tc>
          <w:tcPr>
            <w:tcW w:w="146" w:type="dxa"/>
            <w:tcBorders/>
            <w:vAlign w:val="center"/>
          </w:tcPr>
          <w:p>
            <w:pPr>
              <w:pStyle w:val="TableContents"/>
              <w:bidi w:val="0"/>
              <w:spacing w:before="60" w:after="283"/>
              <w:jc w:val="left"/>
              <w:rPr/>
            </w:pPr>
            <w:r>
              <w:rPr/>
              <w:t> </w:t>
            </w:r>
          </w:p>
        </w:tc>
        <w:tc>
          <w:tcPr>
            <w:tcW w:w="51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10.18</w:t>
            </w:r>
          </w:p>
        </w:tc>
        <w:tc>
          <w:tcPr>
            <w:tcW w:w="146" w:type="dxa"/>
            <w:tcBorders/>
            <w:vAlign w:val="center"/>
          </w:tcPr>
          <w:p>
            <w:pPr>
              <w:pStyle w:val="TableContents"/>
              <w:bidi w:val="0"/>
              <w:spacing w:before="60" w:after="283"/>
              <w:jc w:val="left"/>
              <w:rPr/>
            </w:pPr>
            <w:r>
              <w:rPr/>
              <w:t> </w:t>
            </w:r>
          </w:p>
        </w:tc>
        <w:tc>
          <w:tcPr>
            <w:tcW w:w="39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10-K</w:t>
            </w:r>
          </w:p>
        </w:tc>
        <w:tc>
          <w:tcPr>
            <w:tcW w:w="146" w:type="dxa"/>
            <w:tcBorders/>
            <w:vAlign w:val="center"/>
          </w:tcPr>
          <w:p>
            <w:pPr>
              <w:pStyle w:val="TableContents"/>
              <w:bidi w:val="0"/>
              <w:spacing w:before="60" w:after="283"/>
              <w:jc w:val="left"/>
              <w:rPr/>
            </w:pPr>
            <w:r>
              <w:rPr/>
              <w:t> </w:t>
            </w:r>
          </w:p>
        </w:tc>
        <w:tc>
          <w:tcPr>
            <w:tcW w:w="1107"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March 14, 2019</w:t>
            </w:r>
          </w:p>
        </w:tc>
        <w:tc>
          <w:tcPr>
            <w:tcW w:w="146" w:type="dxa"/>
            <w:tcBorders/>
            <w:vAlign w:val="center"/>
          </w:tcPr>
          <w:p>
            <w:pPr>
              <w:pStyle w:val="TableContents"/>
              <w:bidi w:val="0"/>
              <w:spacing w:before="60" w:after="283"/>
              <w:jc w:val="left"/>
              <w:rPr/>
            </w:pPr>
            <w:r>
              <w:rPr/>
              <w:t> </w:t>
            </w:r>
          </w:p>
        </w:tc>
        <w:tc>
          <w:tcPr>
            <w:tcW w:w="81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714"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10.07+</w:t>
            </w:r>
          </w:p>
        </w:tc>
        <w:tc>
          <w:tcPr>
            <w:tcW w:w="146" w:type="dxa"/>
            <w:tcBorders/>
            <w:vAlign w:val="center"/>
          </w:tcPr>
          <w:p>
            <w:pPr>
              <w:pStyle w:val="TableContents"/>
              <w:bidi w:val="0"/>
              <w:spacing w:before="60" w:after="283"/>
              <w:jc w:val="left"/>
              <w:rPr/>
            </w:pPr>
            <w:r>
              <w:rPr/>
              <w:t> </w:t>
            </w:r>
          </w:p>
        </w:tc>
        <w:tc>
          <w:tcPr>
            <w:tcW w:w="5932" w:type="dxa"/>
            <w:tcBorders/>
            <w:vAlign w:val="center"/>
          </w:tcPr>
          <w:p>
            <w:pPr>
              <w:pStyle w:val="TableContents"/>
              <w:bidi w:val="0"/>
              <w:spacing w:before="60" w:after="283"/>
              <w:jc w:val="both"/>
              <w:rPr/>
            </w:pPr>
            <w:hyperlink r:id="rId21">
              <w:r>
                <w:rPr>
                  <w:rStyle w:val="InternetLink"/>
                  <w:rFonts w:ascii="Times New Roman" w:hAnsi="Times New Roman"/>
                  <w:color w:val="0000FF"/>
                  <w:sz w:val="18"/>
                  <w:u w:val="single"/>
                </w:rPr>
                <w:t>Lineage Cell Therapeutics 2012 Equity Incentive Plan, as amended July 2015 (“2012 Plan”)</w:t>
              </w:r>
            </w:hyperlink>
          </w:p>
        </w:tc>
        <w:tc>
          <w:tcPr>
            <w:tcW w:w="146" w:type="dxa"/>
            <w:tcBorders/>
            <w:vAlign w:val="center"/>
          </w:tcPr>
          <w:p>
            <w:pPr>
              <w:pStyle w:val="TableContents"/>
              <w:bidi w:val="0"/>
              <w:spacing w:before="60" w:after="283"/>
              <w:jc w:val="left"/>
              <w:rPr/>
            </w:pPr>
            <w:r>
              <w:rPr/>
              <w:t> </w:t>
            </w:r>
          </w:p>
        </w:tc>
        <w:tc>
          <w:tcPr>
            <w:tcW w:w="51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4.1</w:t>
            </w:r>
          </w:p>
        </w:tc>
        <w:tc>
          <w:tcPr>
            <w:tcW w:w="146" w:type="dxa"/>
            <w:tcBorders/>
            <w:vAlign w:val="center"/>
          </w:tcPr>
          <w:p>
            <w:pPr>
              <w:pStyle w:val="TableContents"/>
              <w:bidi w:val="0"/>
              <w:spacing w:before="60" w:after="283"/>
              <w:jc w:val="left"/>
              <w:rPr/>
            </w:pPr>
            <w:r>
              <w:rPr/>
              <w:t> </w:t>
            </w:r>
          </w:p>
        </w:tc>
        <w:tc>
          <w:tcPr>
            <w:tcW w:w="39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S-8</w:t>
            </w:r>
          </w:p>
        </w:tc>
        <w:tc>
          <w:tcPr>
            <w:tcW w:w="146" w:type="dxa"/>
            <w:tcBorders/>
            <w:vAlign w:val="center"/>
          </w:tcPr>
          <w:p>
            <w:pPr>
              <w:pStyle w:val="TableContents"/>
              <w:bidi w:val="0"/>
              <w:spacing w:before="60" w:after="283"/>
              <w:jc w:val="left"/>
              <w:rPr/>
            </w:pPr>
            <w:r>
              <w:rPr/>
              <w:t> </w:t>
            </w:r>
          </w:p>
        </w:tc>
        <w:tc>
          <w:tcPr>
            <w:tcW w:w="1107"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July 15, 2015</w:t>
            </w:r>
          </w:p>
        </w:tc>
        <w:tc>
          <w:tcPr>
            <w:tcW w:w="146" w:type="dxa"/>
            <w:tcBorders/>
            <w:vAlign w:val="center"/>
          </w:tcPr>
          <w:p>
            <w:pPr>
              <w:pStyle w:val="TableContents"/>
              <w:bidi w:val="0"/>
              <w:spacing w:before="60" w:after="283"/>
              <w:jc w:val="left"/>
              <w:rPr/>
            </w:pPr>
            <w:r>
              <w:rPr/>
              <w:t> </w:t>
            </w:r>
          </w:p>
        </w:tc>
        <w:tc>
          <w:tcPr>
            <w:tcW w:w="81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333-205661</w:t>
            </w:r>
          </w:p>
        </w:tc>
      </w:tr>
      <w:tr>
        <w:trPr/>
        <w:tc>
          <w:tcPr>
            <w:tcW w:w="714"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10.07(a)+</w:t>
            </w:r>
          </w:p>
        </w:tc>
        <w:tc>
          <w:tcPr>
            <w:tcW w:w="146" w:type="dxa"/>
            <w:tcBorders/>
            <w:vAlign w:val="center"/>
          </w:tcPr>
          <w:p>
            <w:pPr>
              <w:pStyle w:val="TableContents"/>
              <w:bidi w:val="0"/>
              <w:spacing w:before="60" w:after="283"/>
              <w:jc w:val="left"/>
              <w:rPr/>
            </w:pPr>
            <w:r>
              <w:rPr/>
              <w:t> </w:t>
            </w:r>
          </w:p>
        </w:tc>
        <w:tc>
          <w:tcPr>
            <w:tcW w:w="5932" w:type="dxa"/>
            <w:tcBorders/>
            <w:vAlign w:val="center"/>
          </w:tcPr>
          <w:p>
            <w:pPr>
              <w:pStyle w:val="TableContents"/>
              <w:bidi w:val="0"/>
              <w:spacing w:before="60" w:after="283"/>
              <w:jc w:val="both"/>
              <w:rPr/>
            </w:pPr>
            <w:hyperlink r:id="rId22">
              <w:r>
                <w:rPr>
                  <w:rStyle w:val="InternetLink"/>
                  <w:rFonts w:ascii="Times New Roman" w:hAnsi="Times New Roman"/>
                  <w:color w:val="0000FF"/>
                  <w:sz w:val="18"/>
                  <w:u w:val="single"/>
                </w:rPr>
                <w:t>Amendment to 2021 Plan effective September 6, 2023</w:t>
              </w:r>
            </w:hyperlink>
          </w:p>
        </w:tc>
        <w:tc>
          <w:tcPr>
            <w:tcW w:w="146" w:type="dxa"/>
            <w:tcBorders/>
            <w:vAlign w:val="center"/>
          </w:tcPr>
          <w:p>
            <w:pPr>
              <w:pStyle w:val="TableContents"/>
              <w:bidi w:val="0"/>
              <w:spacing w:before="60" w:after="283"/>
              <w:jc w:val="left"/>
              <w:rPr/>
            </w:pPr>
            <w:r>
              <w:rPr/>
              <w:t> </w:t>
            </w:r>
          </w:p>
        </w:tc>
        <w:tc>
          <w:tcPr>
            <w:tcW w:w="51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10.01</w:t>
            </w:r>
          </w:p>
        </w:tc>
        <w:tc>
          <w:tcPr>
            <w:tcW w:w="146" w:type="dxa"/>
            <w:tcBorders/>
            <w:vAlign w:val="center"/>
          </w:tcPr>
          <w:p>
            <w:pPr>
              <w:pStyle w:val="TableContents"/>
              <w:bidi w:val="0"/>
              <w:spacing w:before="60" w:after="283"/>
              <w:jc w:val="left"/>
              <w:rPr/>
            </w:pPr>
            <w:r>
              <w:rPr/>
              <w:t> </w:t>
            </w:r>
          </w:p>
        </w:tc>
        <w:tc>
          <w:tcPr>
            <w:tcW w:w="39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8-K</w:t>
            </w:r>
          </w:p>
        </w:tc>
        <w:tc>
          <w:tcPr>
            <w:tcW w:w="146" w:type="dxa"/>
            <w:tcBorders/>
            <w:vAlign w:val="center"/>
          </w:tcPr>
          <w:p>
            <w:pPr>
              <w:pStyle w:val="TableContents"/>
              <w:bidi w:val="0"/>
              <w:spacing w:before="60" w:after="283"/>
              <w:jc w:val="left"/>
              <w:rPr/>
            </w:pPr>
            <w:r>
              <w:rPr/>
              <w:t> </w:t>
            </w:r>
          </w:p>
        </w:tc>
        <w:tc>
          <w:tcPr>
            <w:tcW w:w="1107"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September 7, 2023</w:t>
            </w:r>
          </w:p>
        </w:tc>
        <w:tc>
          <w:tcPr>
            <w:tcW w:w="146" w:type="dxa"/>
            <w:tcBorders/>
            <w:vAlign w:val="center"/>
          </w:tcPr>
          <w:p>
            <w:pPr>
              <w:pStyle w:val="TableContents"/>
              <w:bidi w:val="0"/>
              <w:spacing w:before="60" w:after="283"/>
              <w:jc w:val="left"/>
              <w:rPr/>
            </w:pPr>
            <w:r>
              <w:rPr/>
              <w:t> </w:t>
            </w:r>
          </w:p>
        </w:tc>
        <w:tc>
          <w:tcPr>
            <w:tcW w:w="81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714"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10.07(b)+</w:t>
            </w:r>
          </w:p>
        </w:tc>
        <w:tc>
          <w:tcPr>
            <w:tcW w:w="146" w:type="dxa"/>
            <w:tcBorders/>
            <w:vAlign w:val="center"/>
          </w:tcPr>
          <w:p>
            <w:pPr>
              <w:pStyle w:val="TableContents"/>
              <w:bidi w:val="0"/>
              <w:spacing w:before="60" w:after="283"/>
              <w:jc w:val="left"/>
              <w:rPr/>
            </w:pPr>
            <w:r>
              <w:rPr/>
              <w:t> </w:t>
            </w:r>
          </w:p>
        </w:tc>
        <w:tc>
          <w:tcPr>
            <w:tcW w:w="5932" w:type="dxa"/>
            <w:tcBorders/>
            <w:vAlign w:val="center"/>
          </w:tcPr>
          <w:p>
            <w:pPr>
              <w:pStyle w:val="TableContents"/>
              <w:bidi w:val="0"/>
              <w:spacing w:before="60" w:after="283"/>
              <w:jc w:val="both"/>
              <w:rPr/>
            </w:pPr>
            <w:hyperlink r:id="rId23">
              <w:r>
                <w:rPr>
                  <w:rStyle w:val="InternetLink"/>
                  <w:rFonts w:ascii="Times New Roman" w:hAnsi="Times New Roman"/>
                  <w:color w:val="0000FF"/>
                  <w:sz w:val="18"/>
                  <w:u w:val="single"/>
                </w:rPr>
                <w:t>Amendment to 2012 Plan effective June 2017</w:t>
              </w:r>
            </w:hyperlink>
          </w:p>
        </w:tc>
        <w:tc>
          <w:tcPr>
            <w:tcW w:w="146" w:type="dxa"/>
            <w:tcBorders/>
            <w:vAlign w:val="center"/>
          </w:tcPr>
          <w:p>
            <w:pPr>
              <w:pStyle w:val="TableContents"/>
              <w:bidi w:val="0"/>
              <w:spacing w:before="60" w:after="283"/>
              <w:jc w:val="left"/>
              <w:rPr/>
            </w:pPr>
            <w:r>
              <w:rPr/>
              <w:t> </w:t>
            </w:r>
          </w:p>
        </w:tc>
        <w:tc>
          <w:tcPr>
            <w:tcW w:w="51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4.2</w:t>
            </w:r>
          </w:p>
        </w:tc>
        <w:tc>
          <w:tcPr>
            <w:tcW w:w="146" w:type="dxa"/>
            <w:tcBorders/>
            <w:vAlign w:val="center"/>
          </w:tcPr>
          <w:p>
            <w:pPr>
              <w:pStyle w:val="TableContents"/>
              <w:bidi w:val="0"/>
              <w:spacing w:before="60" w:after="283"/>
              <w:jc w:val="left"/>
              <w:rPr/>
            </w:pPr>
            <w:r>
              <w:rPr/>
              <w:t> </w:t>
            </w:r>
          </w:p>
        </w:tc>
        <w:tc>
          <w:tcPr>
            <w:tcW w:w="39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S-8</w:t>
            </w:r>
          </w:p>
        </w:tc>
        <w:tc>
          <w:tcPr>
            <w:tcW w:w="146" w:type="dxa"/>
            <w:tcBorders/>
            <w:vAlign w:val="center"/>
          </w:tcPr>
          <w:p>
            <w:pPr>
              <w:pStyle w:val="TableContents"/>
              <w:bidi w:val="0"/>
              <w:spacing w:before="60" w:after="283"/>
              <w:jc w:val="left"/>
              <w:rPr/>
            </w:pPr>
            <w:r>
              <w:rPr/>
              <w:t> </w:t>
            </w:r>
          </w:p>
        </w:tc>
        <w:tc>
          <w:tcPr>
            <w:tcW w:w="1107"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July 7, 2017</w:t>
            </w:r>
          </w:p>
        </w:tc>
        <w:tc>
          <w:tcPr>
            <w:tcW w:w="146" w:type="dxa"/>
            <w:tcBorders/>
            <w:vAlign w:val="center"/>
          </w:tcPr>
          <w:p>
            <w:pPr>
              <w:pStyle w:val="TableContents"/>
              <w:bidi w:val="0"/>
              <w:spacing w:before="60" w:after="283"/>
              <w:jc w:val="left"/>
              <w:rPr/>
            </w:pPr>
            <w:r>
              <w:rPr/>
              <w:t> </w:t>
            </w:r>
          </w:p>
        </w:tc>
        <w:tc>
          <w:tcPr>
            <w:tcW w:w="81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333-219204</w:t>
            </w:r>
          </w:p>
        </w:tc>
      </w:tr>
      <w:tr>
        <w:trPr/>
        <w:tc>
          <w:tcPr>
            <w:tcW w:w="714"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10.07(c)+</w:t>
            </w:r>
          </w:p>
        </w:tc>
        <w:tc>
          <w:tcPr>
            <w:tcW w:w="146" w:type="dxa"/>
            <w:tcBorders/>
            <w:vAlign w:val="center"/>
          </w:tcPr>
          <w:p>
            <w:pPr>
              <w:pStyle w:val="TableContents"/>
              <w:bidi w:val="0"/>
              <w:spacing w:before="60" w:after="283"/>
              <w:jc w:val="left"/>
              <w:rPr/>
            </w:pPr>
            <w:r>
              <w:rPr/>
              <w:t> </w:t>
            </w:r>
          </w:p>
        </w:tc>
        <w:tc>
          <w:tcPr>
            <w:tcW w:w="5932" w:type="dxa"/>
            <w:tcBorders/>
            <w:vAlign w:val="center"/>
          </w:tcPr>
          <w:p>
            <w:pPr>
              <w:pStyle w:val="TableContents"/>
              <w:bidi w:val="0"/>
              <w:spacing w:before="60" w:after="283"/>
              <w:jc w:val="both"/>
              <w:rPr/>
            </w:pPr>
            <w:hyperlink r:id="rId24">
              <w:r>
                <w:rPr>
                  <w:rStyle w:val="InternetLink"/>
                  <w:rFonts w:ascii="Times New Roman" w:hAnsi="Times New Roman"/>
                  <w:color w:val="0000FF"/>
                  <w:sz w:val="18"/>
                  <w:u w:val="single"/>
                </w:rPr>
                <w:t>Amendment to 2012 Plan effective July 2019</w:t>
              </w:r>
            </w:hyperlink>
          </w:p>
        </w:tc>
        <w:tc>
          <w:tcPr>
            <w:tcW w:w="146" w:type="dxa"/>
            <w:tcBorders/>
            <w:vAlign w:val="center"/>
          </w:tcPr>
          <w:p>
            <w:pPr>
              <w:pStyle w:val="TableContents"/>
              <w:bidi w:val="0"/>
              <w:spacing w:before="60" w:after="283"/>
              <w:jc w:val="left"/>
              <w:rPr/>
            </w:pPr>
            <w:r>
              <w:rPr/>
              <w:t> </w:t>
            </w:r>
          </w:p>
        </w:tc>
        <w:tc>
          <w:tcPr>
            <w:tcW w:w="51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99.3</w:t>
            </w:r>
          </w:p>
        </w:tc>
        <w:tc>
          <w:tcPr>
            <w:tcW w:w="146" w:type="dxa"/>
            <w:tcBorders/>
            <w:vAlign w:val="center"/>
          </w:tcPr>
          <w:p>
            <w:pPr>
              <w:pStyle w:val="TableContents"/>
              <w:bidi w:val="0"/>
              <w:spacing w:before="60" w:after="283"/>
              <w:jc w:val="left"/>
              <w:rPr/>
            </w:pPr>
            <w:r>
              <w:rPr/>
              <w:t> </w:t>
            </w:r>
          </w:p>
        </w:tc>
        <w:tc>
          <w:tcPr>
            <w:tcW w:w="39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S-8</w:t>
            </w:r>
          </w:p>
        </w:tc>
        <w:tc>
          <w:tcPr>
            <w:tcW w:w="146" w:type="dxa"/>
            <w:tcBorders/>
            <w:vAlign w:val="center"/>
          </w:tcPr>
          <w:p>
            <w:pPr>
              <w:pStyle w:val="TableContents"/>
              <w:bidi w:val="0"/>
              <w:spacing w:before="60" w:after="283"/>
              <w:jc w:val="left"/>
              <w:rPr/>
            </w:pPr>
            <w:r>
              <w:rPr/>
              <w:t> </w:t>
            </w:r>
          </w:p>
        </w:tc>
        <w:tc>
          <w:tcPr>
            <w:tcW w:w="1107"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August 8, 2019</w:t>
            </w:r>
          </w:p>
        </w:tc>
        <w:tc>
          <w:tcPr>
            <w:tcW w:w="146" w:type="dxa"/>
            <w:tcBorders/>
            <w:vAlign w:val="center"/>
          </w:tcPr>
          <w:p>
            <w:pPr>
              <w:pStyle w:val="TableContents"/>
              <w:bidi w:val="0"/>
              <w:spacing w:before="60" w:after="283"/>
              <w:jc w:val="left"/>
              <w:rPr/>
            </w:pPr>
            <w:r>
              <w:rPr/>
              <w:t> </w:t>
            </w:r>
          </w:p>
        </w:tc>
        <w:tc>
          <w:tcPr>
            <w:tcW w:w="81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333-233132</w:t>
            </w:r>
          </w:p>
        </w:tc>
      </w:tr>
      <w:tr>
        <w:trPr/>
        <w:tc>
          <w:tcPr>
            <w:tcW w:w="714"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10.07(d)+</w:t>
            </w:r>
          </w:p>
        </w:tc>
        <w:tc>
          <w:tcPr>
            <w:tcW w:w="146" w:type="dxa"/>
            <w:tcBorders/>
            <w:vAlign w:val="center"/>
          </w:tcPr>
          <w:p>
            <w:pPr>
              <w:pStyle w:val="TableContents"/>
              <w:bidi w:val="0"/>
              <w:spacing w:before="60" w:after="283"/>
              <w:jc w:val="left"/>
              <w:rPr/>
            </w:pPr>
            <w:r>
              <w:rPr/>
              <w:t> </w:t>
            </w:r>
          </w:p>
        </w:tc>
        <w:tc>
          <w:tcPr>
            <w:tcW w:w="5932" w:type="dxa"/>
            <w:tcBorders/>
            <w:vAlign w:val="center"/>
          </w:tcPr>
          <w:p>
            <w:pPr>
              <w:pStyle w:val="TableContents"/>
              <w:bidi w:val="0"/>
              <w:spacing w:before="60" w:after="283"/>
              <w:jc w:val="both"/>
              <w:rPr/>
            </w:pPr>
            <w:hyperlink r:id="rId25">
              <w:r>
                <w:rPr>
                  <w:rStyle w:val="InternetLink"/>
                  <w:rFonts w:ascii="Times New Roman" w:hAnsi="Times New Roman"/>
                  <w:color w:val="0000FF"/>
                  <w:sz w:val="18"/>
                  <w:u w:val="single"/>
                </w:rPr>
                <w:t>Amendment to 2012 Plan effective August 2019</w:t>
              </w:r>
            </w:hyperlink>
          </w:p>
        </w:tc>
        <w:tc>
          <w:tcPr>
            <w:tcW w:w="146" w:type="dxa"/>
            <w:tcBorders/>
            <w:vAlign w:val="center"/>
          </w:tcPr>
          <w:p>
            <w:pPr>
              <w:pStyle w:val="TableContents"/>
              <w:bidi w:val="0"/>
              <w:spacing w:before="60" w:after="283"/>
              <w:jc w:val="left"/>
              <w:rPr/>
            </w:pPr>
            <w:r>
              <w:rPr/>
              <w:t> </w:t>
            </w:r>
          </w:p>
        </w:tc>
        <w:tc>
          <w:tcPr>
            <w:tcW w:w="51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w:t>
            </w:r>
          </w:p>
        </w:tc>
        <w:tc>
          <w:tcPr>
            <w:tcW w:w="146" w:type="dxa"/>
            <w:tcBorders/>
            <w:vAlign w:val="center"/>
          </w:tcPr>
          <w:p>
            <w:pPr>
              <w:pStyle w:val="TableContents"/>
              <w:bidi w:val="0"/>
              <w:spacing w:before="60" w:after="283"/>
              <w:jc w:val="left"/>
              <w:rPr/>
            </w:pPr>
            <w:r>
              <w:rPr/>
              <w:t> </w:t>
            </w:r>
          </w:p>
        </w:tc>
        <w:tc>
          <w:tcPr>
            <w:tcW w:w="39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vAlign w:val="center"/>
          </w:tcPr>
          <w:p>
            <w:pPr>
              <w:pStyle w:val="TableContents"/>
              <w:bidi w:val="0"/>
              <w:spacing w:before="60" w:after="283"/>
              <w:jc w:val="left"/>
              <w:rPr/>
            </w:pPr>
            <w:r>
              <w:rPr/>
              <w:t> </w:t>
            </w:r>
          </w:p>
        </w:tc>
        <w:tc>
          <w:tcPr>
            <w:tcW w:w="1107"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November 12, 2019</w:t>
            </w:r>
          </w:p>
        </w:tc>
        <w:tc>
          <w:tcPr>
            <w:tcW w:w="146" w:type="dxa"/>
            <w:tcBorders/>
            <w:vAlign w:val="center"/>
          </w:tcPr>
          <w:p>
            <w:pPr>
              <w:pStyle w:val="TableContents"/>
              <w:bidi w:val="0"/>
              <w:spacing w:before="60" w:after="283"/>
              <w:jc w:val="left"/>
              <w:rPr/>
            </w:pPr>
            <w:r>
              <w:rPr/>
              <w:t> </w:t>
            </w:r>
          </w:p>
        </w:tc>
        <w:tc>
          <w:tcPr>
            <w:tcW w:w="81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714"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10.07(e)+</w:t>
            </w:r>
          </w:p>
        </w:tc>
        <w:tc>
          <w:tcPr>
            <w:tcW w:w="146" w:type="dxa"/>
            <w:tcBorders/>
            <w:vAlign w:val="center"/>
          </w:tcPr>
          <w:p>
            <w:pPr>
              <w:pStyle w:val="TableContents"/>
              <w:bidi w:val="0"/>
              <w:spacing w:before="60" w:after="283"/>
              <w:jc w:val="left"/>
              <w:rPr/>
            </w:pPr>
            <w:r>
              <w:rPr/>
              <w:t> </w:t>
            </w:r>
          </w:p>
        </w:tc>
        <w:tc>
          <w:tcPr>
            <w:tcW w:w="5932" w:type="dxa"/>
            <w:tcBorders/>
            <w:vAlign w:val="center"/>
          </w:tcPr>
          <w:p>
            <w:pPr>
              <w:pStyle w:val="TableContents"/>
              <w:bidi w:val="0"/>
              <w:spacing w:before="60" w:after="283"/>
              <w:jc w:val="both"/>
              <w:rPr/>
            </w:pPr>
            <w:hyperlink r:id="rId26">
              <w:r>
                <w:rPr>
                  <w:rStyle w:val="InternetLink"/>
                  <w:rFonts w:ascii="Times New Roman" w:hAnsi="Times New Roman"/>
                  <w:color w:val="0000FF"/>
                  <w:sz w:val="18"/>
                  <w:u w:val="single"/>
                </w:rPr>
                <w:t>2012 Plan Form of Employee Incentive Stock Option Agreement</w:t>
              </w:r>
            </w:hyperlink>
          </w:p>
        </w:tc>
        <w:tc>
          <w:tcPr>
            <w:tcW w:w="146" w:type="dxa"/>
            <w:tcBorders/>
            <w:vAlign w:val="center"/>
          </w:tcPr>
          <w:p>
            <w:pPr>
              <w:pStyle w:val="TableContents"/>
              <w:bidi w:val="0"/>
              <w:spacing w:before="60" w:after="283"/>
              <w:jc w:val="left"/>
              <w:rPr/>
            </w:pPr>
            <w:r>
              <w:rPr/>
              <w:t> </w:t>
            </w:r>
          </w:p>
        </w:tc>
        <w:tc>
          <w:tcPr>
            <w:tcW w:w="51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10.7</w:t>
            </w:r>
          </w:p>
        </w:tc>
        <w:tc>
          <w:tcPr>
            <w:tcW w:w="146" w:type="dxa"/>
            <w:tcBorders/>
            <w:vAlign w:val="center"/>
          </w:tcPr>
          <w:p>
            <w:pPr>
              <w:pStyle w:val="TableContents"/>
              <w:bidi w:val="0"/>
              <w:spacing w:before="60" w:after="283"/>
              <w:jc w:val="left"/>
              <w:rPr/>
            </w:pPr>
            <w:r>
              <w:rPr/>
              <w:t> </w:t>
            </w:r>
          </w:p>
        </w:tc>
        <w:tc>
          <w:tcPr>
            <w:tcW w:w="39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vAlign w:val="center"/>
          </w:tcPr>
          <w:p>
            <w:pPr>
              <w:pStyle w:val="TableContents"/>
              <w:bidi w:val="0"/>
              <w:spacing w:before="60" w:after="283"/>
              <w:jc w:val="left"/>
              <w:rPr/>
            </w:pPr>
            <w:r>
              <w:rPr/>
              <w:t> </w:t>
            </w:r>
          </w:p>
        </w:tc>
        <w:tc>
          <w:tcPr>
            <w:tcW w:w="1107"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November 12, 2013</w:t>
            </w:r>
          </w:p>
        </w:tc>
        <w:tc>
          <w:tcPr>
            <w:tcW w:w="146" w:type="dxa"/>
            <w:tcBorders/>
            <w:vAlign w:val="center"/>
          </w:tcPr>
          <w:p>
            <w:pPr>
              <w:pStyle w:val="TableContents"/>
              <w:bidi w:val="0"/>
              <w:spacing w:before="60" w:after="283"/>
              <w:jc w:val="left"/>
              <w:rPr/>
            </w:pPr>
            <w:r>
              <w:rPr/>
              <w:t> </w:t>
            </w:r>
          </w:p>
        </w:tc>
        <w:tc>
          <w:tcPr>
            <w:tcW w:w="81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714"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10.07(f)+</w:t>
            </w:r>
          </w:p>
        </w:tc>
        <w:tc>
          <w:tcPr>
            <w:tcW w:w="146" w:type="dxa"/>
            <w:tcBorders/>
            <w:vAlign w:val="center"/>
          </w:tcPr>
          <w:p>
            <w:pPr>
              <w:pStyle w:val="TableContents"/>
              <w:bidi w:val="0"/>
              <w:spacing w:before="60" w:after="283"/>
              <w:jc w:val="left"/>
              <w:rPr/>
            </w:pPr>
            <w:r>
              <w:rPr/>
              <w:t> </w:t>
            </w:r>
          </w:p>
        </w:tc>
        <w:tc>
          <w:tcPr>
            <w:tcW w:w="5932" w:type="dxa"/>
            <w:tcBorders/>
            <w:vAlign w:val="center"/>
          </w:tcPr>
          <w:p>
            <w:pPr>
              <w:pStyle w:val="TableContents"/>
              <w:bidi w:val="0"/>
              <w:spacing w:before="60" w:after="283"/>
              <w:jc w:val="both"/>
              <w:rPr/>
            </w:pPr>
            <w:hyperlink r:id="rId27">
              <w:r>
                <w:rPr>
                  <w:rStyle w:val="InternetLink"/>
                  <w:rFonts w:ascii="Times New Roman" w:hAnsi="Times New Roman"/>
                  <w:color w:val="0000FF"/>
                  <w:sz w:val="18"/>
                  <w:u w:val="single"/>
                </w:rPr>
                <w:t>2012 Plan Form of Non-employee Director Stock Option Agreement</w:t>
              </w:r>
            </w:hyperlink>
          </w:p>
        </w:tc>
        <w:tc>
          <w:tcPr>
            <w:tcW w:w="146" w:type="dxa"/>
            <w:tcBorders/>
            <w:vAlign w:val="center"/>
          </w:tcPr>
          <w:p>
            <w:pPr>
              <w:pStyle w:val="TableContents"/>
              <w:bidi w:val="0"/>
              <w:spacing w:before="60" w:after="283"/>
              <w:jc w:val="left"/>
              <w:rPr/>
            </w:pPr>
            <w:r>
              <w:rPr/>
              <w:t> </w:t>
            </w:r>
          </w:p>
        </w:tc>
        <w:tc>
          <w:tcPr>
            <w:tcW w:w="51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10.8</w:t>
            </w:r>
          </w:p>
        </w:tc>
        <w:tc>
          <w:tcPr>
            <w:tcW w:w="146" w:type="dxa"/>
            <w:tcBorders/>
            <w:vAlign w:val="center"/>
          </w:tcPr>
          <w:p>
            <w:pPr>
              <w:pStyle w:val="TableContents"/>
              <w:bidi w:val="0"/>
              <w:spacing w:before="60" w:after="283"/>
              <w:jc w:val="left"/>
              <w:rPr/>
            </w:pPr>
            <w:r>
              <w:rPr/>
              <w:t> </w:t>
            </w:r>
          </w:p>
        </w:tc>
        <w:tc>
          <w:tcPr>
            <w:tcW w:w="39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vAlign w:val="center"/>
          </w:tcPr>
          <w:p>
            <w:pPr>
              <w:pStyle w:val="TableContents"/>
              <w:bidi w:val="0"/>
              <w:spacing w:before="60" w:after="283"/>
              <w:jc w:val="left"/>
              <w:rPr/>
            </w:pPr>
            <w:r>
              <w:rPr/>
              <w:t> </w:t>
            </w:r>
          </w:p>
        </w:tc>
        <w:tc>
          <w:tcPr>
            <w:tcW w:w="1107"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November 12, 2013</w:t>
            </w:r>
          </w:p>
        </w:tc>
        <w:tc>
          <w:tcPr>
            <w:tcW w:w="146" w:type="dxa"/>
            <w:tcBorders/>
            <w:vAlign w:val="center"/>
          </w:tcPr>
          <w:p>
            <w:pPr>
              <w:pStyle w:val="TableContents"/>
              <w:bidi w:val="0"/>
              <w:spacing w:before="60" w:after="283"/>
              <w:jc w:val="left"/>
              <w:rPr/>
            </w:pPr>
            <w:r>
              <w:rPr/>
              <w:t> </w:t>
            </w:r>
          </w:p>
        </w:tc>
        <w:tc>
          <w:tcPr>
            <w:tcW w:w="81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714"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10.07(g)+</w:t>
            </w:r>
          </w:p>
        </w:tc>
        <w:tc>
          <w:tcPr>
            <w:tcW w:w="146" w:type="dxa"/>
            <w:tcBorders/>
            <w:vAlign w:val="center"/>
          </w:tcPr>
          <w:p>
            <w:pPr>
              <w:pStyle w:val="TableContents"/>
              <w:bidi w:val="0"/>
              <w:spacing w:before="60" w:after="283"/>
              <w:jc w:val="left"/>
              <w:rPr/>
            </w:pPr>
            <w:r>
              <w:rPr/>
              <w:t> </w:t>
            </w:r>
          </w:p>
        </w:tc>
        <w:tc>
          <w:tcPr>
            <w:tcW w:w="5932" w:type="dxa"/>
            <w:tcBorders/>
            <w:vAlign w:val="center"/>
          </w:tcPr>
          <w:p>
            <w:pPr>
              <w:pStyle w:val="TableContents"/>
              <w:bidi w:val="0"/>
              <w:spacing w:before="60" w:after="283"/>
              <w:jc w:val="both"/>
              <w:rPr/>
            </w:pPr>
            <w:hyperlink r:id="rId28">
              <w:r>
                <w:rPr>
                  <w:rStyle w:val="InternetLink"/>
                  <w:rFonts w:ascii="Times New Roman" w:hAnsi="Times New Roman"/>
                  <w:color w:val="0000FF"/>
                  <w:sz w:val="18"/>
                  <w:u w:val="single"/>
                </w:rPr>
                <w:t>2012 Plan Stock Option Grant Agreement</w:t>
              </w:r>
            </w:hyperlink>
          </w:p>
        </w:tc>
        <w:tc>
          <w:tcPr>
            <w:tcW w:w="146" w:type="dxa"/>
            <w:tcBorders/>
            <w:vAlign w:val="center"/>
          </w:tcPr>
          <w:p>
            <w:pPr>
              <w:pStyle w:val="TableContents"/>
              <w:bidi w:val="0"/>
              <w:spacing w:before="60" w:after="283"/>
              <w:jc w:val="left"/>
              <w:rPr/>
            </w:pPr>
            <w:r>
              <w:rPr/>
              <w:t> </w:t>
            </w:r>
          </w:p>
        </w:tc>
        <w:tc>
          <w:tcPr>
            <w:tcW w:w="51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10.2</w:t>
            </w:r>
          </w:p>
        </w:tc>
        <w:tc>
          <w:tcPr>
            <w:tcW w:w="146" w:type="dxa"/>
            <w:tcBorders/>
            <w:vAlign w:val="center"/>
          </w:tcPr>
          <w:p>
            <w:pPr>
              <w:pStyle w:val="TableContents"/>
              <w:bidi w:val="0"/>
              <w:spacing w:before="60" w:after="283"/>
              <w:jc w:val="left"/>
              <w:rPr/>
            </w:pPr>
            <w:r>
              <w:rPr/>
              <w:t> </w:t>
            </w:r>
          </w:p>
        </w:tc>
        <w:tc>
          <w:tcPr>
            <w:tcW w:w="39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vAlign w:val="center"/>
          </w:tcPr>
          <w:p>
            <w:pPr>
              <w:pStyle w:val="TableContents"/>
              <w:bidi w:val="0"/>
              <w:spacing w:before="60" w:after="283"/>
              <w:jc w:val="left"/>
              <w:rPr/>
            </w:pPr>
            <w:r>
              <w:rPr/>
              <w:t> </w:t>
            </w:r>
          </w:p>
        </w:tc>
        <w:tc>
          <w:tcPr>
            <w:tcW w:w="1107"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November 12, 2019</w:t>
            </w:r>
          </w:p>
        </w:tc>
        <w:tc>
          <w:tcPr>
            <w:tcW w:w="146" w:type="dxa"/>
            <w:tcBorders/>
            <w:vAlign w:val="center"/>
          </w:tcPr>
          <w:p>
            <w:pPr>
              <w:pStyle w:val="TableContents"/>
              <w:bidi w:val="0"/>
              <w:spacing w:before="60" w:after="283"/>
              <w:jc w:val="left"/>
              <w:rPr/>
            </w:pPr>
            <w:r>
              <w:rPr/>
              <w:t> </w:t>
            </w:r>
          </w:p>
        </w:tc>
        <w:tc>
          <w:tcPr>
            <w:tcW w:w="81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000-12830</w:t>
            </w:r>
          </w:p>
        </w:tc>
      </w:tr>
      <w:tr>
        <w:trPr/>
        <w:tc>
          <w:tcPr>
            <w:tcW w:w="714"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10.07(h)+</w:t>
            </w:r>
          </w:p>
        </w:tc>
        <w:tc>
          <w:tcPr>
            <w:tcW w:w="146" w:type="dxa"/>
            <w:tcBorders/>
            <w:vAlign w:val="center"/>
          </w:tcPr>
          <w:p>
            <w:pPr>
              <w:pStyle w:val="TableContents"/>
              <w:bidi w:val="0"/>
              <w:spacing w:before="60" w:after="283"/>
              <w:jc w:val="left"/>
              <w:rPr/>
            </w:pPr>
            <w:r>
              <w:rPr/>
              <w:t> </w:t>
            </w:r>
          </w:p>
        </w:tc>
        <w:tc>
          <w:tcPr>
            <w:tcW w:w="5932" w:type="dxa"/>
            <w:tcBorders/>
            <w:vAlign w:val="center"/>
          </w:tcPr>
          <w:p>
            <w:pPr>
              <w:pStyle w:val="TableContents"/>
              <w:bidi w:val="0"/>
              <w:spacing w:before="60" w:after="283"/>
              <w:jc w:val="both"/>
              <w:rPr/>
            </w:pPr>
            <w:hyperlink r:id="rId29">
              <w:r>
                <w:rPr>
                  <w:rStyle w:val="InternetLink"/>
                  <w:rFonts w:ascii="Times New Roman" w:hAnsi="Times New Roman"/>
                  <w:color w:val="0000FF"/>
                  <w:sz w:val="18"/>
                  <w:u w:val="single"/>
                </w:rPr>
                <w:t>2012 Plan Form of Restricted Stock Unit</w:t>
              </w:r>
            </w:hyperlink>
          </w:p>
        </w:tc>
        <w:tc>
          <w:tcPr>
            <w:tcW w:w="146" w:type="dxa"/>
            <w:tcBorders/>
            <w:vAlign w:val="center"/>
          </w:tcPr>
          <w:p>
            <w:pPr>
              <w:pStyle w:val="TableContents"/>
              <w:bidi w:val="0"/>
              <w:spacing w:before="60" w:after="283"/>
              <w:jc w:val="left"/>
              <w:rPr/>
            </w:pPr>
            <w:r>
              <w:rPr/>
              <w:t> </w:t>
            </w:r>
          </w:p>
        </w:tc>
        <w:tc>
          <w:tcPr>
            <w:tcW w:w="51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10.6</w:t>
            </w:r>
          </w:p>
        </w:tc>
        <w:tc>
          <w:tcPr>
            <w:tcW w:w="146" w:type="dxa"/>
            <w:tcBorders/>
            <w:vAlign w:val="center"/>
          </w:tcPr>
          <w:p>
            <w:pPr>
              <w:pStyle w:val="TableContents"/>
              <w:bidi w:val="0"/>
              <w:spacing w:before="60" w:after="283"/>
              <w:jc w:val="left"/>
              <w:rPr/>
            </w:pPr>
            <w:r>
              <w:rPr/>
              <w:t> </w:t>
            </w:r>
          </w:p>
        </w:tc>
        <w:tc>
          <w:tcPr>
            <w:tcW w:w="39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10-K</w:t>
            </w:r>
          </w:p>
        </w:tc>
        <w:tc>
          <w:tcPr>
            <w:tcW w:w="146" w:type="dxa"/>
            <w:tcBorders/>
            <w:vAlign w:val="center"/>
          </w:tcPr>
          <w:p>
            <w:pPr>
              <w:pStyle w:val="TableContents"/>
              <w:bidi w:val="0"/>
              <w:spacing w:before="60" w:after="283"/>
              <w:jc w:val="left"/>
              <w:rPr/>
            </w:pPr>
            <w:r>
              <w:rPr/>
              <w:t> </w:t>
            </w:r>
          </w:p>
        </w:tc>
        <w:tc>
          <w:tcPr>
            <w:tcW w:w="1107"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March 12, 2020</w:t>
            </w:r>
          </w:p>
        </w:tc>
        <w:tc>
          <w:tcPr>
            <w:tcW w:w="146" w:type="dxa"/>
            <w:tcBorders/>
            <w:vAlign w:val="center"/>
          </w:tcPr>
          <w:p>
            <w:pPr>
              <w:pStyle w:val="TableContents"/>
              <w:bidi w:val="0"/>
              <w:spacing w:before="60" w:after="283"/>
              <w:jc w:val="left"/>
              <w:rPr/>
            </w:pPr>
            <w:r>
              <w:rPr/>
              <w:t> </w:t>
            </w:r>
          </w:p>
        </w:tc>
        <w:tc>
          <w:tcPr>
            <w:tcW w:w="81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714"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10.08+</w:t>
            </w:r>
          </w:p>
        </w:tc>
        <w:tc>
          <w:tcPr>
            <w:tcW w:w="146" w:type="dxa"/>
            <w:tcBorders/>
            <w:vAlign w:val="center"/>
          </w:tcPr>
          <w:p>
            <w:pPr>
              <w:pStyle w:val="TableContents"/>
              <w:bidi w:val="0"/>
              <w:spacing w:before="60" w:after="283"/>
              <w:jc w:val="left"/>
              <w:rPr/>
            </w:pPr>
            <w:r>
              <w:rPr/>
              <w:t> </w:t>
            </w:r>
          </w:p>
        </w:tc>
        <w:tc>
          <w:tcPr>
            <w:tcW w:w="5932" w:type="dxa"/>
            <w:tcBorders/>
            <w:vAlign w:val="center"/>
          </w:tcPr>
          <w:p>
            <w:pPr>
              <w:pStyle w:val="TableContents"/>
              <w:bidi w:val="0"/>
              <w:spacing w:before="60" w:after="283"/>
              <w:jc w:val="both"/>
              <w:rPr/>
            </w:pPr>
            <w:hyperlink r:id="rId30">
              <w:r>
                <w:rPr>
                  <w:rStyle w:val="InternetLink"/>
                  <w:rFonts w:ascii="Times New Roman" w:hAnsi="Times New Roman"/>
                  <w:color w:val="0000FF"/>
                  <w:sz w:val="18"/>
                  <w:u w:val="single"/>
                </w:rPr>
                <w:t>Lineage Cell Therapeutics 2021 Equity Incentive Plan, effective as of September 2021 (“2021 Plan”)</w:t>
              </w:r>
            </w:hyperlink>
          </w:p>
        </w:tc>
        <w:tc>
          <w:tcPr>
            <w:tcW w:w="146" w:type="dxa"/>
            <w:tcBorders/>
            <w:vAlign w:val="center"/>
          </w:tcPr>
          <w:p>
            <w:pPr>
              <w:pStyle w:val="TableContents"/>
              <w:bidi w:val="0"/>
              <w:spacing w:before="60" w:after="283"/>
              <w:jc w:val="left"/>
              <w:rPr/>
            </w:pPr>
            <w:r>
              <w:rPr/>
              <w:t> </w:t>
            </w:r>
          </w:p>
        </w:tc>
        <w:tc>
          <w:tcPr>
            <w:tcW w:w="51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w:t>
            </w:r>
          </w:p>
        </w:tc>
        <w:tc>
          <w:tcPr>
            <w:tcW w:w="146" w:type="dxa"/>
            <w:tcBorders/>
            <w:vAlign w:val="center"/>
          </w:tcPr>
          <w:p>
            <w:pPr>
              <w:pStyle w:val="TableContents"/>
              <w:bidi w:val="0"/>
              <w:spacing w:before="60" w:after="283"/>
              <w:jc w:val="left"/>
              <w:rPr/>
            </w:pPr>
            <w:r>
              <w:rPr/>
              <w:t> </w:t>
            </w:r>
          </w:p>
        </w:tc>
        <w:tc>
          <w:tcPr>
            <w:tcW w:w="39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8-K</w:t>
            </w:r>
          </w:p>
        </w:tc>
        <w:tc>
          <w:tcPr>
            <w:tcW w:w="146" w:type="dxa"/>
            <w:tcBorders/>
            <w:vAlign w:val="center"/>
          </w:tcPr>
          <w:p>
            <w:pPr>
              <w:pStyle w:val="TableContents"/>
              <w:bidi w:val="0"/>
              <w:spacing w:before="60" w:after="283"/>
              <w:jc w:val="left"/>
              <w:rPr/>
            </w:pPr>
            <w:r>
              <w:rPr/>
              <w:t> </w:t>
            </w:r>
          </w:p>
        </w:tc>
        <w:tc>
          <w:tcPr>
            <w:tcW w:w="1107"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September 15, 2021</w:t>
            </w:r>
          </w:p>
        </w:tc>
        <w:tc>
          <w:tcPr>
            <w:tcW w:w="146" w:type="dxa"/>
            <w:tcBorders/>
            <w:vAlign w:val="center"/>
          </w:tcPr>
          <w:p>
            <w:pPr>
              <w:pStyle w:val="TableContents"/>
              <w:bidi w:val="0"/>
              <w:spacing w:before="60" w:after="283"/>
              <w:jc w:val="left"/>
              <w:rPr/>
            </w:pPr>
            <w:r>
              <w:rPr/>
              <w:t> </w:t>
            </w:r>
          </w:p>
        </w:tc>
        <w:tc>
          <w:tcPr>
            <w:tcW w:w="81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714"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10.08(a)+</w:t>
            </w:r>
          </w:p>
        </w:tc>
        <w:tc>
          <w:tcPr>
            <w:tcW w:w="146" w:type="dxa"/>
            <w:tcBorders/>
            <w:vAlign w:val="center"/>
          </w:tcPr>
          <w:p>
            <w:pPr>
              <w:pStyle w:val="TableContents"/>
              <w:bidi w:val="0"/>
              <w:spacing w:before="60" w:after="283"/>
              <w:jc w:val="left"/>
              <w:rPr/>
            </w:pPr>
            <w:r>
              <w:rPr/>
              <w:t> </w:t>
            </w:r>
          </w:p>
        </w:tc>
        <w:tc>
          <w:tcPr>
            <w:tcW w:w="5932" w:type="dxa"/>
            <w:tcBorders/>
            <w:vAlign w:val="center"/>
          </w:tcPr>
          <w:p>
            <w:pPr>
              <w:pStyle w:val="TableContents"/>
              <w:bidi w:val="0"/>
              <w:spacing w:before="60" w:after="283"/>
              <w:jc w:val="both"/>
              <w:rPr/>
            </w:pPr>
            <w:hyperlink r:id="rId31">
              <w:r>
                <w:rPr>
                  <w:rStyle w:val="InternetLink"/>
                  <w:rFonts w:ascii="Times New Roman" w:hAnsi="Times New Roman"/>
                  <w:color w:val="0000FF"/>
                  <w:sz w:val="18"/>
                  <w:u w:val="single"/>
                </w:rPr>
                <w:t>Amendment to 2021 Plan effective September 6, 2023</w:t>
              </w:r>
            </w:hyperlink>
          </w:p>
        </w:tc>
        <w:tc>
          <w:tcPr>
            <w:tcW w:w="146" w:type="dxa"/>
            <w:tcBorders/>
            <w:vAlign w:val="center"/>
          </w:tcPr>
          <w:p>
            <w:pPr>
              <w:pStyle w:val="TableContents"/>
              <w:bidi w:val="0"/>
              <w:spacing w:before="60" w:after="283"/>
              <w:jc w:val="left"/>
              <w:rPr/>
            </w:pPr>
            <w:r>
              <w:rPr/>
              <w:t> </w:t>
            </w:r>
          </w:p>
        </w:tc>
        <w:tc>
          <w:tcPr>
            <w:tcW w:w="51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10.01</w:t>
            </w:r>
          </w:p>
        </w:tc>
        <w:tc>
          <w:tcPr>
            <w:tcW w:w="146" w:type="dxa"/>
            <w:tcBorders/>
            <w:vAlign w:val="center"/>
          </w:tcPr>
          <w:p>
            <w:pPr>
              <w:pStyle w:val="TableContents"/>
              <w:bidi w:val="0"/>
              <w:spacing w:before="60" w:after="283"/>
              <w:jc w:val="left"/>
              <w:rPr/>
            </w:pPr>
            <w:r>
              <w:rPr/>
              <w:t> </w:t>
            </w:r>
          </w:p>
        </w:tc>
        <w:tc>
          <w:tcPr>
            <w:tcW w:w="39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8-K</w:t>
            </w:r>
          </w:p>
        </w:tc>
        <w:tc>
          <w:tcPr>
            <w:tcW w:w="146" w:type="dxa"/>
            <w:tcBorders/>
            <w:vAlign w:val="center"/>
          </w:tcPr>
          <w:p>
            <w:pPr>
              <w:pStyle w:val="TableContents"/>
              <w:bidi w:val="0"/>
              <w:spacing w:before="60" w:after="283"/>
              <w:jc w:val="left"/>
              <w:rPr/>
            </w:pPr>
            <w:r>
              <w:rPr/>
              <w:t> </w:t>
            </w:r>
          </w:p>
        </w:tc>
        <w:tc>
          <w:tcPr>
            <w:tcW w:w="1107"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September 7, 2023</w:t>
            </w:r>
          </w:p>
        </w:tc>
        <w:tc>
          <w:tcPr>
            <w:tcW w:w="146" w:type="dxa"/>
            <w:tcBorders/>
            <w:vAlign w:val="center"/>
          </w:tcPr>
          <w:p>
            <w:pPr>
              <w:pStyle w:val="TableContents"/>
              <w:bidi w:val="0"/>
              <w:spacing w:before="60" w:after="283"/>
              <w:jc w:val="left"/>
              <w:rPr/>
            </w:pPr>
            <w:r>
              <w:rPr/>
              <w:t> </w:t>
            </w:r>
          </w:p>
        </w:tc>
        <w:tc>
          <w:tcPr>
            <w:tcW w:w="81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714"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10.08(b)+</w:t>
            </w:r>
          </w:p>
        </w:tc>
        <w:tc>
          <w:tcPr>
            <w:tcW w:w="146" w:type="dxa"/>
            <w:tcBorders/>
            <w:vAlign w:val="center"/>
          </w:tcPr>
          <w:p>
            <w:pPr>
              <w:pStyle w:val="TableContents"/>
              <w:bidi w:val="0"/>
              <w:spacing w:before="60" w:after="283"/>
              <w:jc w:val="left"/>
              <w:rPr/>
            </w:pPr>
            <w:r>
              <w:rPr/>
              <w:t> </w:t>
            </w:r>
          </w:p>
        </w:tc>
        <w:tc>
          <w:tcPr>
            <w:tcW w:w="5932" w:type="dxa"/>
            <w:tcBorders/>
            <w:vAlign w:val="center"/>
          </w:tcPr>
          <w:p>
            <w:pPr>
              <w:pStyle w:val="TableContents"/>
              <w:bidi w:val="0"/>
              <w:spacing w:before="60" w:after="283"/>
              <w:jc w:val="both"/>
              <w:rPr/>
            </w:pPr>
            <w:hyperlink r:id="rId32">
              <w:r>
                <w:rPr>
                  <w:rStyle w:val="InternetLink"/>
                  <w:rFonts w:ascii="Times New Roman" w:hAnsi="Times New Roman"/>
                  <w:color w:val="0000FF"/>
                  <w:sz w:val="18"/>
                  <w:u w:val="single"/>
                </w:rPr>
                <w:t>2021 Plan Form of Stock Option Grant Notice and Agreement for Employees and Consultants</w:t>
              </w:r>
            </w:hyperlink>
          </w:p>
        </w:tc>
        <w:tc>
          <w:tcPr>
            <w:tcW w:w="146" w:type="dxa"/>
            <w:tcBorders/>
            <w:vAlign w:val="center"/>
          </w:tcPr>
          <w:p>
            <w:pPr>
              <w:pStyle w:val="TableContents"/>
              <w:bidi w:val="0"/>
              <w:spacing w:before="60" w:after="283"/>
              <w:jc w:val="left"/>
              <w:rPr/>
            </w:pPr>
            <w:r>
              <w:rPr/>
              <w:t> </w:t>
            </w:r>
          </w:p>
        </w:tc>
        <w:tc>
          <w:tcPr>
            <w:tcW w:w="51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99.2</w:t>
            </w:r>
          </w:p>
        </w:tc>
        <w:tc>
          <w:tcPr>
            <w:tcW w:w="146" w:type="dxa"/>
            <w:tcBorders/>
            <w:vAlign w:val="center"/>
          </w:tcPr>
          <w:p>
            <w:pPr>
              <w:pStyle w:val="TableContents"/>
              <w:bidi w:val="0"/>
              <w:spacing w:before="60" w:after="283"/>
              <w:jc w:val="left"/>
              <w:rPr/>
            </w:pPr>
            <w:r>
              <w:rPr/>
              <w:t> </w:t>
            </w:r>
          </w:p>
        </w:tc>
        <w:tc>
          <w:tcPr>
            <w:tcW w:w="39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S-8</w:t>
            </w:r>
          </w:p>
        </w:tc>
        <w:tc>
          <w:tcPr>
            <w:tcW w:w="146" w:type="dxa"/>
            <w:tcBorders/>
            <w:vAlign w:val="center"/>
          </w:tcPr>
          <w:p>
            <w:pPr>
              <w:pStyle w:val="TableContents"/>
              <w:bidi w:val="0"/>
              <w:spacing w:before="60" w:after="283"/>
              <w:jc w:val="left"/>
              <w:rPr/>
            </w:pPr>
            <w:r>
              <w:rPr/>
              <w:t> </w:t>
            </w:r>
          </w:p>
        </w:tc>
        <w:tc>
          <w:tcPr>
            <w:tcW w:w="1107"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September 28, 2021</w:t>
            </w:r>
          </w:p>
        </w:tc>
        <w:tc>
          <w:tcPr>
            <w:tcW w:w="146" w:type="dxa"/>
            <w:tcBorders/>
            <w:vAlign w:val="center"/>
          </w:tcPr>
          <w:p>
            <w:pPr>
              <w:pStyle w:val="TableContents"/>
              <w:bidi w:val="0"/>
              <w:spacing w:before="60" w:after="283"/>
              <w:jc w:val="left"/>
              <w:rPr/>
            </w:pPr>
            <w:r>
              <w:rPr/>
              <w:t> </w:t>
            </w:r>
          </w:p>
        </w:tc>
        <w:tc>
          <w:tcPr>
            <w:tcW w:w="81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333-259853</w:t>
            </w:r>
          </w:p>
        </w:tc>
      </w:tr>
      <w:tr>
        <w:trPr/>
        <w:tc>
          <w:tcPr>
            <w:tcW w:w="714"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10.08(c)+</w:t>
            </w:r>
          </w:p>
        </w:tc>
        <w:tc>
          <w:tcPr>
            <w:tcW w:w="146" w:type="dxa"/>
            <w:tcBorders/>
            <w:vAlign w:val="center"/>
          </w:tcPr>
          <w:p>
            <w:pPr>
              <w:pStyle w:val="TableContents"/>
              <w:bidi w:val="0"/>
              <w:spacing w:before="60" w:after="283"/>
              <w:jc w:val="left"/>
              <w:rPr/>
            </w:pPr>
            <w:r>
              <w:rPr/>
              <w:t> </w:t>
            </w:r>
          </w:p>
        </w:tc>
        <w:tc>
          <w:tcPr>
            <w:tcW w:w="5932" w:type="dxa"/>
            <w:tcBorders/>
            <w:vAlign w:val="center"/>
          </w:tcPr>
          <w:p>
            <w:pPr>
              <w:pStyle w:val="TableContents"/>
              <w:bidi w:val="0"/>
              <w:spacing w:before="60" w:after="283"/>
              <w:jc w:val="both"/>
              <w:rPr/>
            </w:pPr>
            <w:hyperlink r:id="rId33">
              <w:r>
                <w:rPr>
                  <w:rStyle w:val="InternetLink"/>
                  <w:rFonts w:ascii="Times New Roman" w:hAnsi="Times New Roman"/>
                  <w:color w:val="0000FF"/>
                  <w:sz w:val="18"/>
                  <w:u w:val="single"/>
                </w:rPr>
                <w:t>2021 Plan Form of Stock Option Grant Notice and Agreement for Non-Employee Directors</w:t>
              </w:r>
            </w:hyperlink>
          </w:p>
        </w:tc>
        <w:tc>
          <w:tcPr>
            <w:tcW w:w="146" w:type="dxa"/>
            <w:tcBorders/>
            <w:vAlign w:val="center"/>
          </w:tcPr>
          <w:p>
            <w:pPr>
              <w:pStyle w:val="TableContents"/>
              <w:bidi w:val="0"/>
              <w:spacing w:before="60" w:after="283"/>
              <w:jc w:val="left"/>
              <w:rPr/>
            </w:pPr>
            <w:r>
              <w:rPr/>
              <w:t> </w:t>
            </w:r>
          </w:p>
        </w:tc>
        <w:tc>
          <w:tcPr>
            <w:tcW w:w="51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99.3</w:t>
            </w:r>
          </w:p>
        </w:tc>
        <w:tc>
          <w:tcPr>
            <w:tcW w:w="146" w:type="dxa"/>
            <w:tcBorders/>
            <w:vAlign w:val="center"/>
          </w:tcPr>
          <w:p>
            <w:pPr>
              <w:pStyle w:val="TableContents"/>
              <w:bidi w:val="0"/>
              <w:spacing w:before="60" w:after="283"/>
              <w:jc w:val="left"/>
              <w:rPr/>
            </w:pPr>
            <w:r>
              <w:rPr/>
              <w:t> </w:t>
            </w:r>
          </w:p>
        </w:tc>
        <w:tc>
          <w:tcPr>
            <w:tcW w:w="39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S-8</w:t>
            </w:r>
          </w:p>
        </w:tc>
        <w:tc>
          <w:tcPr>
            <w:tcW w:w="146" w:type="dxa"/>
            <w:tcBorders/>
            <w:vAlign w:val="center"/>
          </w:tcPr>
          <w:p>
            <w:pPr>
              <w:pStyle w:val="TableContents"/>
              <w:bidi w:val="0"/>
              <w:spacing w:before="60" w:after="283"/>
              <w:jc w:val="left"/>
              <w:rPr/>
            </w:pPr>
            <w:r>
              <w:rPr/>
              <w:t> </w:t>
            </w:r>
          </w:p>
        </w:tc>
        <w:tc>
          <w:tcPr>
            <w:tcW w:w="1107"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September 28, 2021</w:t>
            </w:r>
          </w:p>
        </w:tc>
        <w:tc>
          <w:tcPr>
            <w:tcW w:w="146" w:type="dxa"/>
            <w:tcBorders/>
            <w:vAlign w:val="center"/>
          </w:tcPr>
          <w:p>
            <w:pPr>
              <w:pStyle w:val="TableContents"/>
              <w:bidi w:val="0"/>
              <w:spacing w:before="60" w:after="283"/>
              <w:jc w:val="left"/>
              <w:rPr/>
            </w:pPr>
            <w:r>
              <w:rPr/>
              <w:t> </w:t>
            </w:r>
          </w:p>
        </w:tc>
        <w:tc>
          <w:tcPr>
            <w:tcW w:w="81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333-259853</w:t>
            </w:r>
          </w:p>
        </w:tc>
      </w:tr>
      <w:tr>
        <w:trPr/>
        <w:tc>
          <w:tcPr>
            <w:tcW w:w="714"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10.08(d)+</w:t>
            </w:r>
          </w:p>
        </w:tc>
        <w:tc>
          <w:tcPr>
            <w:tcW w:w="146" w:type="dxa"/>
            <w:tcBorders/>
            <w:vAlign w:val="center"/>
          </w:tcPr>
          <w:p>
            <w:pPr>
              <w:pStyle w:val="TableContents"/>
              <w:bidi w:val="0"/>
              <w:spacing w:before="60" w:after="283"/>
              <w:jc w:val="left"/>
              <w:rPr/>
            </w:pPr>
            <w:r>
              <w:rPr/>
              <w:t> </w:t>
            </w:r>
          </w:p>
        </w:tc>
        <w:tc>
          <w:tcPr>
            <w:tcW w:w="5932" w:type="dxa"/>
            <w:tcBorders/>
            <w:vAlign w:val="center"/>
          </w:tcPr>
          <w:p>
            <w:pPr>
              <w:pStyle w:val="TableContents"/>
              <w:bidi w:val="0"/>
              <w:spacing w:before="60" w:after="283"/>
              <w:jc w:val="both"/>
              <w:rPr/>
            </w:pPr>
            <w:hyperlink r:id="rId34">
              <w:r>
                <w:rPr>
                  <w:rStyle w:val="InternetLink"/>
                  <w:rFonts w:ascii="Times New Roman" w:hAnsi="Times New Roman"/>
                  <w:color w:val="0000FF"/>
                  <w:sz w:val="18"/>
                  <w:u w:val="single"/>
                </w:rPr>
                <w:t>2021 Plan Form of Restricted Stock Unit Award Grant Notice and Agreement</w:t>
              </w:r>
            </w:hyperlink>
          </w:p>
        </w:tc>
        <w:tc>
          <w:tcPr>
            <w:tcW w:w="146" w:type="dxa"/>
            <w:tcBorders/>
            <w:vAlign w:val="center"/>
          </w:tcPr>
          <w:p>
            <w:pPr>
              <w:pStyle w:val="TableContents"/>
              <w:bidi w:val="0"/>
              <w:spacing w:before="60" w:after="283"/>
              <w:jc w:val="left"/>
              <w:rPr/>
            </w:pPr>
            <w:r>
              <w:rPr/>
              <w:t> </w:t>
            </w:r>
          </w:p>
        </w:tc>
        <w:tc>
          <w:tcPr>
            <w:tcW w:w="51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99.4</w:t>
            </w:r>
          </w:p>
        </w:tc>
        <w:tc>
          <w:tcPr>
            <w:tcW w:w="146" w:type="dxa"/>
            <w:tcBorders/>
            <w:vAlign w:val="center"/>
          </w:tcPr>
          <w:p>
            <w:pPr>
              <w:pStyle w:val="TableContents"/>
              <w:bidi w:val="0"/>
              <w:spacing w:before="60" w:after="283"/>
              <w:jc w:val="left"/>
              <w:rPr/>
            </w:pPr>
            <w:r>
              <w:rPr/>
              <w:t> </w:t>
            </w:r>
          </w:p>
        </w:tc>
        <w:tc>
          <w:tcPr>
            <w:tcW w:w="39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S-8</w:t>
            </w:r>
          </w:p>
        </w:tc>
        <w:tc>
          <w:tcPr>
            <w:tcW w:w="146" w:type="dxa"/>
            <w:tcBorders/>
            <w:vAlign w:val="center"/>
          </w:tcPr>
          <w:p>
            <w:pPr>
              <w:pStyle w:val="TableContents"/>
              <w:bidi w:val="0"/>
              <w:spacing w:before="60" w:after="283"/>
              <w:jc w:val="left"/>
              <w:rPr/>
            </w:pPr>
            <w:r>
              <w:rPr/>
              <w:t> </w:t>
            </w:r>
          </w:p>
        </w:tc>
        <w:tc>
          <w:tcPr>
            <w:tcW w:w="1107"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September 28, 2021</w:t>
            </w:r>
          </w:p>
        </w:tc>
        <w:tc>
          <w:tcPr>
            <w:tcW w:w="146" w:type="dxa"/>
            <w:tcBorders/>
            <w:vAlign w:val="center"/>
          </w:tcPr>
          <w:p>
            <w:pPr>
              <w:pStyle w:val="TableContents"/>
              <w:bidi w:val="0"/>
              <w:spacing w:before="60" w:after="283"/>
              <w:jc w:val="left"/>
              <w:rPr/>
            </w:pPr>
            <w:r>
              <w:rPr/>
              <w:t> </w:t>
            </w:r>
          </w:p>
        </w:tc>
        <w:tc>
          <w:tcPr>
            <w:tcW w:w="81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333-259853</w:t>
            </w:r>
          </w:p>
        </w:tc>
      </w:tr>
      <w:tr>
        <w:trPr/>
        <w:tc>
          <w:tcPr>
            <w:tcW w:w="714"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10.09+</w:t>
            </w:r>
          </w:p>
        </w:tc>
        <w:tc>
          <w:tcPr>
            <w:tcW w:w="146" w:type="dxa"/>
            <w:tcBorders/>
            <w:vAlign w:val="center"/>
          </w:tcPr>
          <w:p>
            <w:pPr>
              <w:pStyle w:val="TableContents"/>
              <w:bidi w:val="0"/>
              <w:spacing w:before="60" w:after="283"/>
              <w:jc w:val="left"/>
              <w:rPr/>
            </w:pPr>
            <w:r>
              <w:rPr/>
              <w:t> </w:t>
            </w:r>
          </w:p>
        </w:tc>
        <w:tc>
          <w:tcPr>
            <w:tcW w:w="5932" w:type="dxa"/>
            <w:tcBorders/>
            <w:vAlign w:val="center"/>
          </w:tcPr>
          <w:p>
            <w:pPr>
              <w:pStyle w:val="TableContents"/>
              <w:bidi w:val="0"/>
              <w:spacing w:before="60" w:after="283"/>
              <w:jc w:val="both"/>
              <w:rPr/>
            </w:pPr>
            <w:hyperlink r:id="rId35">
              <w:r>
                <w:rPr>
                  <w:rStyle w:val="InternetLink"/>
                  <w:rFonts w:ascii="Times New Roman" w:hAnsi="Times New Roman"/>
                  <w:color w:val="0000FF"/>
                  <w:sz w:val="18"/>
                  <w:u w:val="single"/>
                </w:rPr>
                <w:t>Executive Performance Incentive Bonus Plan, adopted September 2022</w:t>
              </w:r>
            </w:hyperlink>
          </w:p>
        </w:tc>
        <w:tc>
          <w:tcPr>
            <w:tcW w:w="146" w:type="dxa"/>
            <w:tcBorders/>
            <w:vAlign w:val="center"/>
          </w:tcPr>
          <w:p>
            <w:pPr>
              <w:pStyle w:val="TableContents"/>
              <w:bidi w:val="0"/>
              <w:spacing w:before="60" w:after="283"/>
              <w:jc w:val="left"/>
              <w:rPr/>
            </w:pPr>
            <w:r>
              <w:rPr/>
              <w:t> </w:t>
            </w:r>
          </w:p>
        </w:tc>
        <w:tc>
          <w:tcPr>
            <w:tcW w:w="51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10.5</w:t>
            </w:r>
          </w:p>
        </w:tc>
        <w:tc>
          <w:tcPr>
            <w:tcW w:w="146" w:type="dxa"/>
            <w:tcBorders/>
            <w:vAlign w:val="center"/>
          </w:tcPr>
          <w:p>
            <w:pPr>
              <w:pStyle w:val="TableContents"/>
              <w:bidi w:val="0"/>
              <w:spacing w:before="60" w:after="283"/>
              <w:jc w:val="left"/>
              <w:rPr/>
            </w:pPr>
            <w:r>
              <w:rPr/>
              <w:t> </w:t>
            </w:r>
          </w:p>
        </w:tc>
        <w:tc>
          <w:tcPr>
            <w:tcW w:w="39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vAlign w:val="center"/>
          </w:tcPr>
          <w:p>
            <w:pPr>
              <w:pStyle w:val="TableContents"/>
              <w:bidi w:val="0"/>
              <w:spacing w:before="60" w:after="283"/>
              <w:jc w:val="left"/>
              <w:rPr/>
            </w:pPr>
            <w:r>
              <w:rPr/>
              <w:t> </w:t>
            </w:r>
          </w:p>
        </w:tc>
        <w:tc>
          <w:tcPr>
            <w:tcW w:w="1107"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November 10, 2022</w:t>
            </w:r>
          </w:p>
        </w:tc>
        <w:tc>
          <w:tcPr>
            <w:tcW w:w="146" w:type="dxa"/>
            <w:tcBorders/>
            <w:vAlign w:val="center"/>
          </w:tcPr>
          <w:p>
            <w:pPr>
              <w:pStyle w:val="TableContents"/>
              <w:bidi w:val="0"/>
              <w:spacing w:before="60" w:after="283"/>
              <w:jc w:val="left"/>
              <w:rPr/>
            </w:pPr>
            <w:r>
              <w:rPr/>
              <w:t> </w:t>
            </w:r>
          </w:p>
        </w:tc>
        <w:tc>
          <w:tcPr>
            <w:tcW w:w="81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792" w:type="dxa"/>
            <w:gridSpan w:val="3"/>
            <w:tcBorders/>
            <w:vAlign w:val="center"/>
          </w:tcPr>
          <w:p>
            <w:pPr>
              <w:pStyle w:val="TableContents"/>
              <w:bidi w:val="0"/>
              <w:spacing w:before="60" w:after="283"/>
              <w:jc w:val="left"/>
              <w:rPr>
                <w:rFonts w:ascii="Times New Roman" w:hAnsi="Times New Roman"/>
                <w:i/>
                <w:color w:val="000000"/>
                <w:sz w:val="18"/>
              </w:rPr>
            </w:pPr>
            <w:r>
              <w:rPr>
                <w:rFonts w:ascii="Times New Roman" w:hAnsi="Times New Roman"/>
                <w:i/>
                <w:color w:val="000000"/>
                <w:sz w:val="18"/>
              </w:rPr>
              <w:t>COMMERCIAL AGREEMENTS</w:t>
            </w:r>
          </w:p>
        </w:tc>
        <w:tc>
          <w:tcPr>
            <w:tcW w:w="146" w:type="dxa"/>
            <w:tcBorders/>
            <w:vAlign w:val="center"/>
          </w:tcPr>
          <w:p>
            <w:pPr>
              <w:pStyle w:val="TableContents"/>
              <w:bidi w:val="0"/>
              <w:spacing w:before="60" w:after="283"/>
              <w:jc w:val="left"/>
              <w:rPr/>
            </w:pPr>
            <w:r>
              <w:rPr/>
              <w:t> </w:t>
            </w:r>
          </w:p>
        </w:tc>
        <w:tc>
          <w:tcPr>
            <w:tcW w:w="511" w:type="dxa"/>
            <w:tcBorders/>
            <w:vAlign w:val="center"/>
          </w:tcPr>
          <w:p>
            <w:pPr>
              <w:pStyle w:val="TableContents"/>
              <w:bidi w:val="0"/>
              <w:spacing w:before="60" w:after="283"/>
              <w:jc w:val="left"/>
              <w:rPr/>
            </w:pPr>
            <w:r>
              <w:rPr/>
              <w:t> </w:t>
            </w:r>
          </w:p>
        </w:tc>
        <w:tc>
          <w:tcPr>
            <w:tcW w:w="146" w:type="dxa"/>
            <w:tcBorders/>
            <w:vAlign w:val="center"/>
          </w:tcPr>
          <w:p>
            <w:pPr>
              <w:pStyle w:val="TableContents"/>
              <w:bidi w:val="0"/>
              <w:spacing w:before="60" w:after="283"/>
              <w:jc w:val="left"/>
              <w:rPr/>
            </w:pPr>
            <w:r>
              <w:rPr/>
              <w:t> </w:t>
            </w:r>
          </w:p>
        </w:tc>
        <w:tc>
          <w:tcPr>
            <w:tcW w:w="396" w:type="dxa"/>
            <w:tcBorders/>
            <w:vAlign w:val="center"/>
          </w:tcPr>
          <w:p>
            <w:pPr>
              <w:pStyle w:val="TableContents"/>
              <w:bidi w:val="0"/>
              <w:spacing w:before="60" w:after="283"/>
              <w:jc w:val="left"/>
              <w:rPr/>
            </w:pPr>
            <w:r>
              <w:rPr/>
              <w:t> </w:t>
            </w:r>
          </w:p>
        </w:tc>
        <w:tc>
          <w:tcPr>
            <w:tcW w:w="146" w:type="dxa"/>
            <w:tcBorders/>
            <w:vAlign w:val="center"/>
          </w:tcPr>
          <w:p>
            <w:pPr>
              <w:pStyle w:val="TableContents"/>
              <w:bidi w:val="0"/>
              <w:spacing w:before="60" w:after="283"/>
              <w:jc w:val="left"/>
              <w:rPr/>
            </w:pPr>
            <w:r>
              <w:rPr/>
              <w:t> </w:t>
            </w:r>
          </w:p>
        </w:tc>
        <w:tc>
          <w:tcPr>
            <w:tcW w:w="1107" w:type="dxa"/>
            <w:tcBorders/>
            <w:vAlign w:val="center"/>
          </w:tcPr>
          <w:p>
            <w:pPr>
              <w:pStyle w:val="TableContents"/>
              <w:bidi w:val="0"/>
              <w:spacing w:before="60" w:after="283"/>
              <w:jc w:val="left"/>
              <w:rPr/>
            </w:pPr>
            <w:r>
              <w:rPr/>
              <w:t> </w:t>
            </w:r>
          </w:p>
        </w:tc>
        <w:tc>
          <w:tcPr>
            <w:tcW w:w="146" w:type="dxa"/>
            <w:tcBorders/>
            <w:vAlign w:val="center"/>
          </w:tcPr>
          <w:p>
            <w:pPr>
              <w:pStyle w:val="TableContents"/>
              <w:bidi w:val="0"/>
              <w:spacing w:before="60" w:after="283"/>
              <w:jc w:val="left"/>
              <w:rPr/>
            </w:pPr>
            <w:r>
              <w:rPr/>
              <w:t> </w:t>
            </w:r>
          </w:p>
        </w:tc>
        <w:tc>
          <w:tcPr>
            <w:tcW w:w="815" w:type="dxa"/>
            <w:tcBorders/>
            <w:vAlign w:val="center"/>
          </w:tcPr>
          <w:p>
            <w:pPr>
              <w:pStyle w:val="TableContents"/>
              <w:bidi w:val="0"/>
              <w:spacing w:before="60" w:after="283"/>
              <w:jc w:val="left"/>
              <w:rPr/>
            </w:pPr>
            <w:r>
              <w:rPr/>
              <w:t> </w:t>
            </w:r>
          </w:p>
        </w:tc>
      </w:tr>
      <w:tr>
        <w:trPr/>
        <w:tc>
          <w:tcPr>
            <w:tcW w:w="714"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10.10</w:t>
            </w:r>
          </w:p>
        </w:tc>
        <w:tc>
          <w:tcPr>
            <w:tcW w:w="146" w:type="dxa"/>
            <w:tcBorders/>
            <w:vAlign w:val="center"/>
          </w:tcPr>
          <w:p>
            <w:pPr>
              <w:pStyle w:val="TableContents"/>
              <w:bidi w:val="0"/>
              <w:spacing w:before="60" w:after="283"/>
              <w:jc w:val="left"/>
              <w:rPr/>
            </w:pPr>
            <w:r>
              <w:rPr/>
              <w:t> </w:t>
            </w:r>
          </w:p>
        </w:tc>
        <w:tc>
          <w:tcPr>
            <w:tcW w:w="5932" w:type="dxa"/>
            <w:tcBorders/>
            <w:vAlign w:val="center"/>
          </w:tcPr>
          <w:p>
            <w:pPr>
              <w:pStyle w:val="TableContents"/>
              <w:bidi w:val="0"/>
              <w:spacing w:before="60" w:after="283"/>
              <w:jc w:val="both"/>
              <w:rPr/>
            </w:pPr>
            <w:hyperlink r:id="rId36">
              <w:r>
                <w:rPr>
                  <w:rStyle w:val="InternetLink"/>
                  <w:rFonts w:ascii="Times New Roman" w:hAnsi="Times New Roman"/>
                  <w:color w:val="0000FF"/>
                  <w:sz w:val="18"/>
                  <w:u w:val="single"/>
                </w:rPr>
                <w:t>Commercial License and Option Agreement between Registrant and Wisconsin Alumni Research Foundation (“WARF Agreement”)</w:t>
              </w:r>
            </w:hyperlink>
          </w:p>
        </w:tc>
        <w:tc>
          <w:tcPr>
            <w:tcW w:w="146" w:type="dxa"/>
            <w:tcBorders/>
            <w:vAlign w:val="center"/>
          </w:tcPr>
          <w:p>
            <w:pPr>
              <w:pStyle w:val="TableContents"/>
              <w:bidi w:val="0"/>
              <w:spacing w:before="60" w:after="283"/>
              <w:jc w:val="left"/>
              <w:rPr/>
            </w:pPr>
            <w:r>
              <w:rPr/>
              <w:t> </w:t>
            </w:r>
          </w:p>
        </w:tc>
        <w:tc>
          <w:tcPr>
            <w:tcW w:w="51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w:t>
            </w:r>
          </w:p>
        </w:tc>
        <w:tc>
          <w:tcPr>
            <w:tcW w:w="146" w:type="dxa"/>
            <w:tcBorders/>
            <w:vAlign w:val="center"/>
          </w:tcPr>
          <w:p>
            <w:pPr>
              <w:pStyle w:val="TableContents"/>
              <w:bidi w:val="0"/>
              <w:spacing w:before="60" w:after="283"/>
              <w:jc w:val="left"/>
              <w:rPr/>
            </w:pPr>
            <w:r>
              <w:rPr/>
              <w:t> </w:t>
            </w:r>
          </w:p>
        </w:tc>
        <w:tc>
          <w:tcPr>
            <w:tcW w:w="39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8-K</w:t>
            </w:r>
          </w:p>
        </w:tc>
        <w:tc>
          <w:tcPr>
            <w:tcW w:w="146" w:type="dxa"/>
            <w:tcBorders/>
            <w:vAlign w:val="center"/>
          </w:tcPr>
          <w:p>
            <w:pPr>
              <w:pStyle w:val="TableContents"/>
              <w:bidi w:val="0"/>
              <w:spacing w:before="60" w:after="283"/>
              <w:jc w:val="left"/>
              <w:rPr/>
            </w:pPr>
            <w:r>
              <w:rPr/>
              <w:t> </w:t>
            </w:r>
          </w:p>
        </w:tc>
        <w:tc>
          <w:tcPr>
            <w:tcW w:w="1107"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January 9, 2008</w:t>
            </w:r>
          </w:p>
        </w:tc>
        <w:tc>
          <w:tcPr>
            <w:tcW w:w="146" w:type="dxa"/>
            <w:tcBorders/>
            <w:vAlign w:val="center"/>
          </w:tcPr>
          <w:p>
            <w:pPr>
              <w:pStyle w:val="TableContents"/>
              <w:bidi w:val="0"/>
              <w:spacing w:before="60" w:after="283"/>
              <w:jc w:val="left"/>
              <w:rPr/>
            </w:pPr>
            <w:r>
              <w:rPr/>
              <w:t> </w:t>
            </w:r>
          </w:p>
        </w:tc>
        <w:tc>
          <w:tcPr>
            <w:tcW w:w="81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714"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10.10(a)</w:t>
            </w:r>
          </w:p>
        </w:tc>
        <w:tc>
          <w:tcPr>
            <w:tcW w:w="146" w:type="dxa"/>
            <w:tcBorders/>
            <w:vAlign w:val="center"/>
          </w:tcPr>
          <w:p>
            <w:pPr>
              <w:pStyle w:val="TableContents"/>
              <w:bidi w:val="0"/>
              <w:spacing w:before="60" w:after="283"/>
              <w:jc w:val="left"/>
              <w:rPr/>
            </w:pPr>
            <w:r>
              <w:rPr/>
              <w:t> </w:t>
            </w:r>
          </w:p>
        </w:tc>
        <w:tc>
          <w:tcPr>
            <w:tcW w:w="5932" w:type="dxa"/>
            <w:tcBorders/>
            <w:vAlign w:val="center"/>
          </w:tcPr>
          <w:p>
            <w:pPr>
              <w:pStyle w:val="TableContents"/>
              <w:bidi w:val="0"/>
              <w:spacing w:before="60" w:after="283"/>
              <w:jc w:val="both"/>
              <w:rPr/>
            </w:pPr>
            <w:hyperlink r:id="rId37">
              <w:r>
                <w:rPr>
                  <w:rStyle w:val="InternetLink"/>
                  <w:rFonts w:ascii="Times New Roman" w:hAnsi="Times New Roman"/>
                  <w:color w:val="0000FF"/>
                  <w:sz w:val="18"/>
                  <w:u w:val="single"/>
                </w:rPr>
                <w:t>First Amendment to WARF Agreement dated March 11, 2009</w:t>
              </w:r>
            </w:hyperlink>
          </w:p>
        </w:tc>
        <w:tc>
          <w:tcPr>
            <w:tcW w:w="146" w:type="dxa"/>
            <w:tcBorders/>
            <w:vAlign w:val="center"/>
          </w:tcPr>
          <w:p>
            <w:pPr>
              <w:pStyle w:val="TableContents"/>
              <w:bidi w:val="0"/>
              <w:spacing w:before="60" w:after="283"/>
              <w:jc w:val="left"/>
              <w:rPr/>
            </w:pPr>
            <w:r>
              <w:rPr/>
              <w:t> </w:t>
            </w:r>
          </w:p>
        </w:tc>
        <w:tc>
          <w:tcPr>
            <w:tcW w:w="51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10.38</w:t>
            </w:r>
          </w:p>
        </w:tc>
        <w:tc>
          <w:tcPr>
            <w:tcW w:w="146" w:type="dxa"/>
            <w:tcBorders/>
            <w:vAlign w:val="center"/>
          </w:tcPr>
          <w:p>
            <w:pPr>
              <w:pStyle w:val="TableContents"/>
              <w:bidi w:val="0"/>
              <w:spacing w:before="60" w:after="283"/>
              <w:jc w:val="left"/>
              <w:rPr/>
            </w:pPr>
            <w:r>
              <w:rPr/>
              <w:t> </w:t>
            </w:r>
          </w:p>
        </w:tc>
        <w:tc>
          <w:tcPr>
            <w:tcW w:w="39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10-K</w:t>
            </w:r>
          </w:p>
        </w:tc>
        <w:tc>
          <w:tcPr>
            <w:tcW w:w="146" w:type="dxa"/>
            <w:tcBorders/>
            <w:vAlign w:val="center"/>
          </w:tcPr>
          <w:p>
            <w:pPr>
              <w:pStyle w:val="TableContents"/>
              <w:bidi w:val="0"/>
              <w:spacing w:before="60" w:after="283"/>
              <w:jc w:val="left"/>
              <w:rPr/>
            </w:pPr>
            <w:r>
              <w:rPr/>
              <w:t> </w:t>
            </w:r>
          </w:p>
        </w:tc>
        <w:tc>
          <w:tcPr>
            <w:tcW w:w="1107"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March 23, 2009</w:t>
            </w:r>
          </w:p>
        </w:tc>
        <w:tc>
          <w:tcPr>
            <w:tcW w:w="146" w:type="dxa"/>
            <w:tcBorders/>
            <w:vAlign w:val="center"/>
          </w:tcPr>
          <w:p>
            <w:pPr>
              <w:pStyle w:val="TableContents"/>
              <w:bidi w:val="0"/>
              <w:spacing w:before="60" w:after="283"/>
              <w:jc w:val="left"/>
              <w:rPr/>
            </w:pPr>
            <w:r>
              <w:rPr/>
              <w:t> </w:t>
            </w:r>
          </w:p>
        </w:tc>
        <w:tc>
          <w:tcPr>
            <w:tcW w:w="81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714"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10.11</w:t>
            </w:r>
          </w:p>
        </w:tc>
        <w:tc>
          <w:tcPr>
            <w:tcW w:w="146" w:type="dxa"/>
            <w:tcBorders/>
            <w:vAlign w:val="center"/>
          </w:tcPr>
          <w:p>
            <w:pPr>
              <w:pStyle w:val="TableContents"/>
              <w:bidi w:val="0"/>
              <w:spacing w:before="60" w:after="283"/>
              <w:jc w:val="left"/>
              <w:rPr/>
            </w:pPr>
            <w:r>
              <w:rPr/>
              <w:t> </w:t>
            </w:r>
          </w:p>
        </w:tc>
        <w:tc>
          <w:tcPr>
            <w:tcW w:w="5932" w:type="dxa"/>
            <w:tcBorders/>
            <w:vAlign w:val="center"/>
          </w:tcPr>
          <w:p>
            <w:pPr>
              <w:pStyle w:val="TableContents"/>
              <w:bidi w:val="0"/>
              <w:spacing w:before="60" w:after="283"/>
              <w:jc w:val="both"/>
              <w:rPr/>
            </w:pPr>
            <w:hyperlink r:id="rId38">
              <w:r>
                <w:rPr>
                  <w:rStyle w:val="InternetLink"/>
                  <w:rFonts w:ascii="Times New Roman" w:hAnsi="Times New Roman"/>
                  <w:color w:val="0000FF"/>
                  <w:sz w:val="18"/>
                  <w:u w:val="single"/>
                </w:rPr>
                <w:t>Second Amended and Restated License Agreement dated June 15, 2017, between Cell Cure Neurosciences, Ltd. and Hadasit Medical Research Services and Development Ltd. (“Hadasit License”)</w:t>
              </w:r>
            </w:hyperlink>
          </w:p>
        </w:tc>
        <w:tc>
          <w:tcPr>
            <w:tcW w:w="146" w:type="dxa"/>
            <w:tcBorders/>
            <w:vAlign w:val="center"/>
          </w:tcPr>
          <w:p>
            <w:pPr>
              <w:pStyle w:val="TableContents"/>
              <w:bidi w:val="0"/>
              <w:spacing w:before="60" w:after="283"/>
              <w:jc w:val="left"/>
              <w:rPr/>
            </w:pPr>
            <w:r>
              <w:rPr/>
              <w:t> </w:t>
            </w:r>
          </w:p>
        </w:tc>
        <w:tc>
          <w:tcPr>
            <w:tcW w:w="51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10.2</w:t>
            </w:r>
          </w:p>
        </w:tc>
        <w:tc>
          <w:tcPr>
            <w:tcW w:w="146" w:type="dxa"/>
            <w:tcBorders/>
            <w:vAlign w:val="center"/>
          </w:tcPr>
          <w:p>
            <w:pPr>
              <w:pStyle w:val="TableContents"/>
              <w:bidi w:val="0"/>
              <w:spacing w:before="60" w:after="283"/>
              <w:jc w:val="left"/>
              <w:rPr/>
            </w:pPr>
            <w:r>
              <w:rPr/>
              <w:t> </w:t>
            </w:r>
          </w:p>
        </w:tc>
        <w:tc>
          <w:tcPr>
            <w:tcW w:w="39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vAlign w:val="center"/>
          </w:tcPr>
          <w:p>
            <w:pPr>
              <w:pStyle w:val="TableContents"/>
              <w:bidi w:val="0"/>
              <w:spacing w:before="60" w:after="283"/>
              <w:jc w:val="left"/>
              <w:rPr/>
            </w:pPr>
            <w:r>
              <w:rPr/>
              <w:t> </w:t>
            </w:r>
          </w:p>
        </w:tc>
        <w:tc>
          <w:tcPr>
            <w:tcW w:w="1107"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August 9, 2017</w:t>
            </w:r>
          </w:p>
        </w:tc>
        <w:tc>
          <w:tcPr>
            <w:tcW w:w="146" w:type="dxa"/>
            <w:tcBorders/>
            <w:vAlign w:val="center"/>
          </w:tcPr>
          <w:p>
            <w:pPr>
              <w:pStyle w:val="TableContents"/>
              <w:bidi w:val="0"/>
              <w:spacing w:before="60" w:after="283"/>
              <w:jc w:val="left"/>
              <w:rPr/>
            </w:pPr>
            <w:r>
              <w:rPr/>
              <w:t> </w:t>
            </w:r>
          </w:p>
        </w:tc>
        <w:tc>
          <w:tcPr>
            <w:tcW w:w="81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714"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10.11(a)</w:t>
            </w:r>
          </w:p>
        </w:tc>
        <w:tc>
          <w:tcPr>
            <w:tcW w:w="146" w:type="dxa"/>
            <w:tcBorders/>
            <w:vAlign w:val="center"/>
          </w:tcPr>
          <w:p>
            <w:pPr>
              <w:pStyle w:val="TableContents"/>
              <w:bidi w:val="0"/>
              <w:spacing w:before="60" w:after="283"/>
              <w:jc w:val="left"/>
              <w:rPr/>
            </w:pPr>
            <w:r>
              <w:rPr/>
              <w:t> </w:t>
            </w:r>
          </w:p>
        </w:tc>
        <w:tc>
          <w:tcPr>
            <w:tcW w:w="5932" w:type="dxa"/>
            <w:tcBorders/>
            <w:vAlign w:val="center"/>
          </w:tcPr>
          <w:p>
            <w:pPr>
              <w:pStyle w:val="TableContents"/>
              <w:bidi w:val="0"/>
              <w:spacing w:before="60" w:after="283"/>
              <w:jc w:val="both"/>
              <w:rPr/>
            </w:pPr>
            <w:hyperlink r:id="rId39">
              <w:r>
                <w:rPr>
                  <w:rStyle w:val="InternetLink"/>
                  <w:rFonts w:ascii="Times New Roman" w:hAnsi="Times New Roman"/>
                  <w:color w:val="0000FF"/>
                  <w:sz w:val="18"/>
                  <w:u w:val="single"/>
                </w:rPr>
                <w:t>Amendment to Hadasit License dated January 8, 2018</w:t>
              </w:r>
            </w:hyperlink>
          </w:p>
        </w:tc>
        <w:tc>
          <w:tcPr>
            <w:tcW w:w="146" w:type="dxa"/>
            <w:tcBorders/>
            <w:vAlign w:val="center"/>
          </w:tcPr>
          <w:p>
            <w:pPr>
              <w:pStyle w:val="TableContents"/>
              <w:bidi w:val="0"/>
              <w:spacing w:before="60" w:after="283"/>
              <w:jc w:val="left"/>
              <w:rPr/>
            </w:pPr>
            <w:r>
              <w:rPr/>
              <w:t> </w:t>
            </w:r>
          </w:p>
        </w:tc>
        <w:tc>
          <w:tcPr>
            <w:tcW w:w="51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10.38</w:t>
            </w:r>
          </w:p>
        </w:tc>
        <w:tc>
          <w:tcPr>
            <w:tcW w:w="146" w:type="dxa"/>
            <w:tcBorders/>
            <w:vAlign w:val="center"/>
          </w:tcPr>
          <w:p>
            <w:pPr>
              <w:pStyle w:val="TableContents"/>
              <w:bidi w:val="0"/>
              <w:spacing w:before="60" w:after="283"/>
              <w:jc w:val="left"/>
              <w:rPr/>
            </w:pPr>
            <w:r>
              <w:rPr/>
              <w:t> </w:t>
            </w:r>
          </w:p>
        </w:tc>
        <w:tc>
          <w:tcPr>
            <w:tcW w:w="39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10-K</w:t>
            </w:r>
          </w:p>
        </w:tc>
        <w:tc>
          <w:tcPr>
            <w:tcW w:w="146" w:type="dxa"/>
            <w:tcBorders/>
            <w:vAlign w:val="center"/>
          </w:tcPr>
          <w:p>
            <w:pPr>
              <w:pStyle w:val="TableContents"/>
              <w:bidi w:val="0"/>
              <w:spacing w:before="60" w:after="283"/>
              <w:jc w:val="left"/>
              <w:rPr/>
            </w:pPr>
            <w:r>
              <w:rPr/>
              <w:t> </w:t>
            </w:r>
          </w:p>
        </w:tc>
        <w:tc>
          <w:tcPr>
            <w:tcW w:w="1107"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March 15, 2018</w:t>
            </w:r>
          </w:p>
        </w:tc>
        <w:tc>
          <w:tcPr>
            <w:tcW w:w="146" w:type="dxa"/>
            <w:tcBorders/>
            <w:vAlign w:val="center"/>
          </w:tcPr>
          <w:p>
            <w:pPr>
              <w:pStyle w:val="TableContents"/>
              <w:bidi w:val="0"/>
              <w:spacing w:before="60" w:after="283"/>
              <w:jc w:val="left"/>
              <w:rPr/>
            </w:pPr>
            <w:r>
              <w:rPr/>
              <w:t> </w:t>
            </w:r>
          </w:p>
        </w:tc>
        <w:tc>
          <w:tcPr>
            <w:tcW w:w="81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bl>
    <w:p>
      <w:pPr>
        <w:pStyle w:val="TextBody"/>
        <w:bidi w:val="0"/>
        <w:spacing w:before="60" w:after="283"/>
        <w:jc w:val="left"/>
        <w:rPr/>
      </w:pPr>
      <w:r>
        <w:rPr/>
        <w:t> </w:t>
      </w:r>
    </w:p>
    <w:tbl>
      <w:tblPr>
        <w:tblW w:w="9236" w:type="dxa"/>
        <w:jc w:val="left"/>
        <w:tblInd w:w="0" w:type="dxa"/>
        <w:tblLayout w:type="fixed"/>
        <w:tblCellMar>
          <w:top w:w="28" w:type="dxa"/>
          <w:left w:w="28" w:type="dxa"/>
          <w:bottom w:w="28" w:type="dxa"/>
          <w:right w:w="28" w:type="dxa"/>
        </w:tblCellMar>
      </w:tblPr>
      <w:tblGrid>
        <w:gridCol w:w="736"/>
        <w:gridCol w:w="109"/>
        <w:gridCol w:w="4666"/>
        <w:gridCol w:w="109"/>
        <w:gridCol w:w="631"/>
        <w:gridCol w:w="109"/>
        <w:gridCol w:w="481"/>
        <w:gridCol w:w="109"/>
        <w:gridCol w:w="1246"/>
        <w:gridCol w:w="109"/>
        <w:gridCol w:w="931"/>
      </w:tblGrid>
      <w:tr>
        <w:trPr/>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73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10.11(b)</w:t>
            </w:r>
          </w:p>
        </w:tc>
        <w:tc>
          <w:tcPr>
            <w:tcW w:w="109" w:type="dxa"/>
            <w:tcBorders/>
            <w:vAlign w:val="center"/>
          </w:tcPr>
          <w:p>
            <w:pPr>
              <w:pStyle w:val="TableContents"/>
              <w:bidi w:val="0"/>
              <w:spacing w:before="0" w:after="283"/>
              <w:jc w:val="left"/>
              <w:rPr>
                <w:sz w:val="4"/>
                <w:szCs w:val="4"/>
              </w:rPr>
            </w:pPr>
            <w:r>
              <w:rPr>
                <w:sz w:val="4"/>
                <w:szCs w:val="4"/>
              </w:rPr>
            </w:r>
          </w:p>
        </w:tc>
        <w:tc>
          <w:tcPr>
            <w:tcW w:w="4666" w:type="dxa"/>
            <w:tcBorders/>
            <w:vAlign w:val="center"/>
          </w:tcPr>
          <w:p>
            <w:pPr>
              <w:pStyle w:val="TableContents"/>
              <w:bidi w:val="0"/>
              <w:spacing w:before="60" w:after="283"/>
              <w:jc w:val="both"/>
              <w:rPr/>
            </w:pPr>
            <w:hyperlink r:id="rId40">
              <w:r>
                <w:rPr>
                  <w:rStyle w:val="InternetLink"/>
                  <w:rFonts w:ascii="Times New Roman" w:hAnsi="Times New Roman"/>
                  <w:color w:val="0000FF"/>
                  <w:sz w:val="18"/>
                  <w:u w:val="single"/>
                </w:rPr>
                <w:t>Second Amendment to Hadasit License dated December 1, 2019</w:t>
              </w:r>
            </w:hyperlink>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10.4(b)</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10-K</w:t>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March 10, 2022</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5"/>
        <w:gridCol w:w="146"/>
        <w:gridCol w:w="5500"/>
        <w:gridCol w:w="146"/>
        <w:gridCol w:w="565"/>
        <w:gridCol w:w="146"/>
        <w:gridCol w:w="890"/>
        <w:gridCol w:w="146"/>
        <w:gridCol w:w="1080"/>
        <w:gridCol w:w="146"/>
        <w:gridCol w:w="805"/>
      </w:tblGrid>
      <w:tr>
        <w:trPr/>
        <w:tc>
          <w:tcPr>
            <w:tcW w:w="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10.11(c)</w:t>
            </w:r>
          </w:p>
        </w:tc>
        <w:tc>
          <w:tcPr>
            <w:tcW w:w="146" w:type="dxa"/>
            <w:tcBorders/>
            <w:vAlign w:val="center"/>
          </w:tcPr>
          <w:p>
            <w:pPr>
              <w:pStyle w:val="TableContents"/>
              <w:bidi w:val="0"/>
              <w:spacing w:before="0" w:after="283"/>
              <w:jc w:val="left"/>
              <w:rPr>
                <w:sz w:val="4"/>
                <w:szCs w:val="4"/>
              </w:rPr>
            </w:pPr>
            <w:r>
              <w:rPr>
                <w:sz w:val="4"/>
                <w:szCs w:val="4"/>
              </w:rPr>
            </w:r>
          </w:p>
        </w:tc>
        <w:tc>
          <w:tcPr>
            <w:tcW w:w="5500" w:type="dxa"/>
            <w:tcBorders/>
            <w:vAlign w:val="center"/>
          </w:tcPr>
          <w:p>
            <w:pPr>
              <w:pStyle w:val="TableContents"/>
              <w:bidi w:val="0"/>
              <w:spacing w:before="60" w:after="283"/>
              <w:jc w:val="both"/>
              <w:rPr/>
            </w:pPr>
            <w:hyperlink r:id="rId41">
              <w:r>
                <w:rPr>
                  <w:rStyle w:val="InternetLink"/>
                  <w:rFonts w:ascii="Times New Roman" w:hAnsi="Times New Roman"/>
                  <w:color w:val="0000FF"/>
                  <w:sz w:val="18"/>
                  <w:u w:val="single"/>
                </w:rPr>
                <w:t>Side Letter Agreement dated December 17, 2021 between Hadasit Medical Research Services and Development Ltd., Cell Cure Neurosciences Ltd., Genentech, Inc. and F. Hoffmann-La Roche Ltd</w:t>
              </w:r>
            </w:hyperlink>
          </w:p>
        </w:tc>
        <w:tc>
          <w:tcPr>
            <w:tcW w:w="1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10.4(c)</w:t>
            </w:r>
          </w:p>
        </w:tc>
        <w:tc>
          <w:tcPr>
            <w:tcW w:w="14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10-K</w:t>
            </w:r>
          </w:p>
        </w:tc>
        <w:tc>
          <w:tcPr>
            <w:tcW w:w="14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March 10, 2022</w:t>
            </w:r>
          </w:p>
        </w:tc>
        <w:tc>
          <w:tcPr>
            <w:tcW w:w="14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3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10.11(d)</w:t>
            </w:r>
          </w:p>
        </w:tc>
        <w:tc>
          <w:tcPr>
            <w:tcW w:w="146" w:type="dxa"/>
            <w:tcBorders/>
            <w:vAlign w:val="center"/>
          </w:tcPr>
          <w:p>
            <w:pPr>
              <w:pStyle w:val="TableContents"/>
              <w:bidi w:val="0"/>
              <w:spacing w:before="0" w:after="283"/>
              <w:jc w:val="left"/>
              <w:rPr>
                <w:sz w:val="4"/>
                <w:szCs w:val="4"/>
              </w:rPr>
            </w:pPr>
            <w:r>
              <w:rPr>
                <w:sz w:val="4"/>
                <w:szCs w:val="4"/>
              </w:rPr>
            </w:r>
          </w:p>
        </w:tc>
        <w:tc>
          <w:tcPr>
            <w:tcW w:w="5500" w:type="dxa"/>
            <w:tcBorders/>
            <w:vAlign w:val="center"/>
          </w:tcPr>
          <w:p>
            <w:pPr>
              <w:pStyle w:val="TableContents"/>
              <w:bidi w:val="0"/>
              <w:spacing w:before="60" w:after="283"/>
              <w:jc w:val="both"/>
              <w:rPr/>
            </w:pPr>
            <w:hyperlink r:id="rId42">
              <w:r>
                <w:rPr>
                  <w:rStyle w:val="InternetLink"/>
                  <w:rFonts w:ascii="Times New Roman" w:hAnsi="Times New Roman"/>
                  <w:color w:val="0000FF"/>
                  <w:sz w:val="18"/>
                  <w:u w:val="single"/>
                </w:rPr>
                <w:t>Second Side Letter Agreement dated December 17, 2021 between Hadasit Medical Research Services and Development Ltd. and Cell Cure Neurosciences Ltd.</w:t>
              </w:r>
            </w:hyperlink>
          </w:p>
        </w:tc>
        <w:tc>
          <w:tcPr>
            <w:tcW w:w="1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 xml:space="preserve">10.4(d) </w:t>
            </w:r>
          </w:p>
        </w:tc>
        <w:tc>
          <w:tcPr>
            <w:tcW w:w="14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10-K</w:t>
            </w:r>
          </w:p>
        </w:tc>
        <w:tc>
          <w:tcPr>
            <w:tcW w:w="14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March 10, 2022</w:t>
            </w:r>
          </w:p>
        </w:tc>
        <w:tc>
          <w:tcPr>
            <w:tcW w:w="14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3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10.12</w:t>
            </w:r>
          </w:p>
        </w:tc>
        <w:tc>
          <w:tcPr>
            <w:tcW w:w="146" w:type="dxa"/>
            <w:tcBorders/>
            <w:vAlign w:val="center"/>
          </w:tcPr>
          <w:p>
            <w:pPr>
              <w:pStyle w:val="TableContents"/>
              <w:bidi w:val="0"/>
              <w:spacing w:before="0" w:after="283"/>
              <w:jc w:val="left"/>
              <w:rPr>
                <w:sz w:val="4"/>
                <w:szCs w:val="4"/>
              </w:rPr>
            </w:pPr>
            <w:r>
              <w:rPr>
                <w:sz w:val="4"/>
                <w:szCs w:val="4"/>
              </w:rPr>
            </w:r>
          </w:p>
        </w:tc>
        <w:tc>
          <w:tcPr>
            <w:tcW w:w="5500" w:type="dxa"/>
            <w:tcBorders/>
            <w:vAlign w:val="center"/>
          </w:tcPr>
          <w:p>
            <w:pPr>
              <w:pStyle w:val="TableContents"/>
              <w:bidi w:val="0"/>
              <w:spacing w:before="60" w:after="283"/>
              <w:jc w:val="both"/>
              <w:rPr/>
            </w:pPr>
            <w:hyperlink r:id="rId43">
              <w:r>
                <w:rPr>
                  <w:rStyle w:val="InternetLink"/>
                  <w:rFonts w:ascii="Times New Roman" w:hAnsi="Times New Roman"/>
                  <w:color w:val="0000FF"/>
                  <w:sz w:val="18"/>
                  <w:u w:val="single"/>
                </w:rPr>
                <w:t>Debt and Note Purchase Agreement dated June 16, 2017, as amended June 29, 2017, between Registrant and HBL-Hadasit Bio-Holdings Ltd.</w:t>
              </w:r>
            </w:hyperlink>
          </w:p>
        </w:tc>
        <w:tc>
          <w:tcPr>
            <w:tcW w:w="1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10.3</w:t>
            </w:r>
          </w:p>
        </w:tc>
        <w:tc>
          <w:tcPr>
            <w:tcW w:w="14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August 9, 2017</w:t>
            </w:r>
          </w:p>
        </w:tc>
        <w:tc>
          <w:tcPr>
            <w:tcW w:w="14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3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10.13</w:t>
            </w:r>
          </w:p>
        </w:tc>
        <w:tc>
          <w:tcPr>
            <w:tcW w:w="146" w:type="dxa"/>
            <w:tcBorders/>
            <w:vAlign w:val="center"/>
          </w:tcPr>
          <w:p>
            <w:pPr>
              <w:pStyle w:val="TableContents"/>
              <w:bidi w:val="0"/>
              <w:spacing w:before="0" w:after="283"/>
              <w:jc w:val="left"/>
              <w:rPr>
                <w:sz w:val="4"/>
                <w:szCs w:val="4"/>
              </w:rPr>
            </w:pPr>
            <w:r>
              <w:rPr>
                <w:sz w:val="4"/>
                <w:szCs w:val="4"/>
              </w:rPr>
            </w:r>
          </w:p>
        </w:tc>
        <w:tc>
          <w:tcPr>
            <w:tcW w:w="5500" w:type="dxa"/>
            <w:tcBorders/>
            <w:vAlign w:val="center"/>
          </w:tcPr>
          <w:p>
            <w:pPr>
              <w:pStyle w:val="TableContents"/>
              <w:bidi w:val="0"/>
              <w:spacing w:before="60" w:after="283"/>
              <w:jc w:val="both"/>
              <w:rPr/>
            </w:pPr>
            <w:hyperlink r:id="rId44">
              <w:r>
                <w:rPr>
                  <w:rStyle w:val="InternetLink"/>
                  <w:rFonts w:ascii="Times New Roman" w:hAnsi="Times New Roman"/>
                  <w:color w:val="0000FF"/>
                  <w:sz w:val="18"/>
                  <w:u w:val="single"/>
                </w:rPr>
                <w:t>Share Purchase and Transfer Agreement dated June 16, 2017, by and among Registrant and HBL-Hadasit Bio-Holdings Ltd. and Cell Cure Neurosciences Ltd.</w:t>
              </w:r>
            </w:hyperlink>
          </w:p>
        </w:tc>
        <w:tc>
          <w:tcPr>
            <w:tcW w:w="1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10.4</w:t>
            </w:r>
          </w:p>
        </w:tc>
        <w:tc>
          <w:tcPr>
            <w:tcW w:w="14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August 9, 2017</w:t>
            </w:r>
          </w:p>
        </w:tc>
        <w:tc>
          <w:tcPr>
            <w:tcW w:w="14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3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10.14</w:t>
            </w:r>
          </w:p>
        </w:tc>
        <w:tc>
          <w:tcPr>
            <w:tcW w:w="146" w:type="dxa"/>
            <w:tcBorders/>
            <w:vAlign w:val="center"/>
          </w:tcPr>
          <w:p>
            <w:pPr>
              <w:pStyle w:val="TableContents"/>
              <w:bidi w:val="0"/>
              <w:spacing w:before="0" w:after="283"/>
              <w:jc w:val="left"/>
              <w:rPr>
                <w:sz w:val="4"/>
                <w:szCs w:val="4"/>
              </w:rPr>
            </w:pPr>
            <w:r>
              <w:rPr>
                <w:sz w:val="4"/>
                <w:szCs w:val="4"/>
              </w:rPr>
            </w:r>
          </w:p>
        </w:tc>
        <w:tc>
          <w:tcPr>
            <w:tcW w:w="5500" w:type="dxa"/>
            <w:tcBorders/>
            <w:vAlign w:val="center"/>
          </w:tcPr>
          <w:p>
            <w:pPr>
              <w:pStyle w:val="TableContents"/>
              <w:bidi w:val="0"/>
              <w:spacing w:before="60" w:after="283"/>
              <w:jc w:val="both"/>
              <w:rPr/>
            </w:pPr>
            <w:hyperlink r:id="rId45">
              <w:r>
                <w:rPr>
                  <w:rStyle w:val="InternetLink"/>
                  <w:rFonts w:ascii="Times New Roman" w:hAnsi="Times New Roman"/>
                  <w:color w:val="0000FF"/>
                  <w:sz w:val="18"/>
                  <w:u w:val="single"/>
                </w:rPr>
                <w:t>Royalty Agreement dated October 1, 2013 between Asterias and Geron Corporation</w:t>
              </w:r>
            </w:hyperlink>
          </w:p>
        </w:tc>
        <w:tc>
          <w:tcPr>
            <w:tcW w:w="1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10.6</w:t>
            </w:r>
          </w:p>
        </w:tc>
        <w:tc>
          <w:tcPr>
            <w:tcW w:w="14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Asterias S-1/A</w:t>
            </w:r>
          </w:p>
        </w:tc>
        <w:tc>
          <w:tcPr>
            <w:tcW w:w="14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August 13, 2013</w:t>
            </w:r>
          </w:p>
        </w:tc>
        <w:tc>
          <w:tcPr>
            <w:tcW w:w="14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333-187706</w:t>
            </w:r>
          </w:p>
        </w:tc>
      </w:tr>
      <w:tr>
        <w:trPr/>
        <w:tc>
          <w:tcPr>
            <w:tcW w:w="63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10.15</w:t>
            </w:r>
          </w:p>
        </w:tc>
        <w:tc>
          <w:tcPr>
            <w:tcW w:w="146" w:type="dxa"/>
            <w:tcBorders/>
            <w:vAlign w:val="center"/>
          </w:tcPr>
          <w:p>
            <w:pPr>
              <w:pStyle w:val="TableContents"/>
              <w:bidi w:val="0"/>
              <w:spacing w:before="0" w:after="283"/>
              <w:jc w:val="left"/>
              <w:rPr>
                <w:sz w:val="4"/>
                <w:szCs w:val="4"/>
              </w:rPr>
            </w:pPr>
            <w:r>
              <w:rPr>
                <w:sz w:val="4"/>
                <w:szCs w:val="4"/>
              </w:rPr>
            </w:r>
          </w:p>
        </w:tc>
        <w:tc>
          <w:tcPr>
            <w:tcW w:w="5500" w:type="dxa"/>
            <w:tcBorders/>
            <w:vAlign w:val="center"/>
          </w:tcPr>
          <w:p>
            <w:pPr>
              <w:pStyle w:val="TableContents"/>
              <w:bidi w:val="0"/>
              <w:spacing w:before="60" w:after="283"/>
              <w:jc w:val="both"/>
              <w:rPr/>
            </w:pPr>
            <w:hyperlink r:id="rId46">
              <w:r>
                <w:rPr>
                  <w:rStyle w:val="InternetLink"/>
                  <w:rFonts w:ascii="Times New Roman" w:hAnsi="Times New Roman"/>
                  <w:color w:val="0000FF"/>
                  <w:sz w:val="18"/>
                  <w:u w:val="single"/>
                </w:rPr>
                <w:t>Exclusive Sublicense Agreement between Geron Corporation and Asterias</w:t>
              </w:r>
            </w:hyperlink>
          </w:p>
        </w:tc>
        <w:tc>
          <w:tcPr>
            <w:tcW w:w="1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10.7</w:t>
            </w:r>
          </w:p>
        </w:tc>
        <w:tc>
          <w:tcPr>
            <w:tcW w:w="14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Asterias S-1/A</w:t>
            </w:r>
          </w:p>
        </w:tc>
        <w:tc>
          <w:tcPr>
            <w:tcW w:w="14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August 13, 2013</w:t>
            </w:r>
          </w:p>
        </w:tc>
        <w:tc>
          <w:tcPr>
            <w:tcW w:w="14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333-187706</w:t>
            </w:r>
          </w:p>
        </w:tc>
      </w:tr>
      <w:tr>
        <w:trPr/>
        <w:tc>
          <w:tcPr>
            <w:tcW w:w="63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10.16</w:t>
            </w:r>
          </w:p>
        </w:tc>
        <w:tc>
          <w:tcPr>
            <w:tcW w:w="146" w:type="dxa"/>
            <w:tcBorders/>
            <w:vAlign w:val="center"/>
          </w:tcPr>
          <w:p>
            <w:pPr>
              <w:pStyle w:val="TableContents"/>
              <w:bidi w:val="0"/>
              <w:spacing w:before="0" w:after="283"/>
              <w:jc w:val="left"/>
              <w:rPr>
                <w:sz w:val="4"/>
                <w:szCs w:val="4"/>
              </w:rPr>
            </w:pPr>
            <w:r>
              <w:rPr>
                <w:sz w:val="4"/>
                <w:szCs w:val="4"/>
              </w:rPr>
            </w:r>
          </w:p>
        </w:tc>
        <w:tc>
          <w:tcPr>
            <w:tcW w:w="5500" w:type="dxa"/>
            <w:tcBorders/>
            <w:vAlign w:val="center"/>
          </w:tcPr>
          <w:p>
            <w:pPr>
              <w:pStyle w:val="TableContents"/>
              <w:bidi w:val="0"/>
              <w:spacing w:before="60" w:after="283"/>
              <w:jc w:val="both"/>
              <w:rPr/>
            </w:pPr>
            <w:hyperlink r:id="rId47">
              <w:r>
                <w:rPr>
                  <w:rStyle w:val="InternetLink"/>
                  <w:rFonts w:ascii="Times New Roman" w:hAnsi="Times New Roman"/>
                  <w:color w:val="0000FF"/>
                  <w:sz w:val="18"/>
                  <w:u w:val="single"/>
                </w:rPr>
                <w:t>Non-exclusive License Agreement dated October 7, 2013 between WARF and Asterias</w:t>
              </w:r>
            </w:hyperlink>
          </w:p>
        </w:tc>
        <w:tc>
          <w:tcPr>
            <w:tcW w:w="1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10.5</w:t>
            </w:r>
          </w:p>
        </w:tc>
        <w:tc>
          <w:tcPr>
            <w:tcW w:w="14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Asterias 10-Q</w:t>
            </w:r>
          </w:p>
        </w:tc>
        <w:tc>
          <w:tcPr>
            <w:tcW w:w="14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November 12, 2013</w:t>
            </w:r>
          </w:p>
        </w:tc>
        <w:tc>
          <w:tcPr>
            <w:tcW w:w="14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000-55046</w:t>
            </w:r>
          </w:p>
        </w:tc>
      </w:tr>
      <w:tr>
        <w:trPr/>
        <w:tc>
          <w:tcPr>
            <w:tcW w:w="63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10.17</w:t>
            </w:r>
          </w:p>
        </w:tc>
        <w:tc>
          <w:tcPr>
            <w:tcW w:w="146" w:type="dxa"/>
            <w:tcBorders/>
            <w:vAlign w:val="center"/>
          </w:tcPr>
          <w:p>
            <w:pPr>
              <w:pStyle w:val="TableContents"/>
              <w:bidi w:val="0"/>
              <w:spacing w:before="0" w:after="283"/>
              <w:jc w:val="left"/>
              <w:rPr>
                <w:sz w:val="4"/>
                <w:szCs w:val="4"/>
              </w:rPr>
            </w:pPr>
            <w:r>
              <w:rPr>
                <w:sz w:val="4"/>
                <w:szCs w:val="4"/>
              </w:rPr>
            </w:r>
          </w:p>
        </w:tc>
        <w:tc>
          <w:tcPr>
            <w:tcW w:w="5500" w:type="dxa"/>
            <w:tcBorders/>
            <w:vAlign w:val="center"/>
          </w:tcPr>
          <w:p>
            <w:pPr>
              <w:pStyle w:val="TableContents"/>
              <w:bidi w:val="0"/>
              <w:spacing w:before="60" w:after="283"/>
              <w:jc w:val="both"/>
              <w:rPr/>
            </w:pPr>
            <w:hyperlink r:id="rId48">
              <w:r>
                <w:rPr>
                  <w:rStyle w:val="InternetLink"/>
                  <w:rFonts w:ascii="Times New Roman" w:hAnsi="Times New Roman"/>
                  <w:color w:val="0000FF"/>
                  <w:sz w:val="18"/>
                  <w:u w:val="single"/>
                </w:rPr>
                <w:t>Clinical Trial and Option Agreement dated September 8, 2014 between Asterias and Cancer Research UK and Cancer Research Technology Limited (“CRT”)</w:t>
              </w:r>
            </w:hyperlink>
          </w:p>
        </w:tc>
        <w:tc>
          <w:tcPr>
            <w:tcW w:w="1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w:t>
            </w:r>
          </w:p>
        </w:tc>
        <w:tc>
          <w:tcPr>
            <w:tcW w:w="14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Asterias 10-Q/A</w:t>
            </w:r>
          </w:p>
        </w:tc>
        <w:tc>
          <w:tcPr>
            <w:tcW w:w="14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January 13, 2015</w:t>
            </w:r>
          </w:p>
        </w:tc>
        <w:tc>
          <w:tcPr>
            <w:tcW w:w="14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001-36646</w:t>
            </w:r>
          </w:p>
        </w:tc>
      </w:tr>
      <w:tr>
        <w:trPr/>
        <w:tc>
          <w:tcPr>
            <w:tcW w:w="63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10.18(a)</w:t>
            </w:r>
          </w:p>
        </w:tc>
        <w:tc>
          <w:tcPr>
            <w:tcW w:w="146" w:type="dxa"/>
            <w:tcBorders/>
            <w:vAlign w:val="center"/>
          </w:tcPr>
          <w:p>
            <w:pPr>
              <w:pStyle w:val="TableContents"/>
              <w:bidi w:val="0"/>
              <w:spacing w:before="0" w:after="283"/>
              <w:jc w:val="left"/>
              <w:rPr>
                <w:sz w:val="4"/>
                <w:szCs w:val="4"/>
              </w:rPr>
            </w:pPr>
            <w:r>
              <w:rPr>
                <w:sz w:val="4"/>
                <w:szCs w:val="4"/>
              </w:rPr>
            </w:r>
          </w:p>
        </w:tc>
        <w:tc>
          <w:tcPr>
            <w:tcW w:w="5500" w:type="dxa"/>
            <w:tcBorders/>
            <w:vAlign w:val="center"/>
          </w:tcPr>
          <w:p>
            <w:pPr>
              <w:pStyle w:val="TableContents"/>
              <w:bidi w:val="0"/>
              <w:spacing w:before="60" w:after="283"/>
              <w:jc w:val="both"/>
              <w:rPr/>
            </w:pPr>
            <w:hyperlink r:id="rId49">
              <w:r>
                <w:rPr>
                  <w:rStyle w:val="InternetLink"/>
                  <w:rFonts w:ascii="Times New Roman" w:hAnsi="Times New Roman"/>
                  <w:color w:val="0000FF"/>
                  <w:sz w:val="18"/>
                  <w:u w:val="single"/>
                </w:rPr>
                <w:t>Second Amendment to Clinical Trial and Option Agreement dated May 6, 2020 between Cancer Research UK, CRT, Asterias Biotherapeutics, Inc. and Registrant</w:t>
              </w:r>
            </w:hyperlink>
          </w:p>
        </w:tc>
        <w:tc>
          <w:tcPr>
            <w:tcW w:w="1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w:t>
            </w:r>
          </w:p>
        </w:tc>
        <w:tc>
          <w:tcPr>
            <w:tcW w:w="14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August 6, 2020</w:t>
            </w:r>
          </w:p>
        </w:tc>
        <w:tc>
          <w:tcPr>
            <w:tcW w:w="14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3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10.18(b)</w:t>
            </w:r>
          </w:p>
        </w:tc>
        <w:tc>
          <w:tcPr>
            <w:tcW w:w="146" w:type="dxa"/>
            <w:tcBorders/>
            <w:vAlign w:val="center"/>
          </w:tcPr>
          <w:p>
            <w:pPr>
              <w:pStyle w:val="TableContents"/>
              <w:bidi w:val="0"/>
              <w:spacing w:before="0" w:after="283"/>
              <w:jc w:val="left"/>
              <w:rPr>
                <w:sz w:val="4"/>
                <w:szCs w:val="4"/>
              </w:rPr>
            </w:pPr>
            <w:r>
              <w:rPr>
                <w:sz w:val="4"/>
                <w:szCs w:val="4"/>
              </w:rPr>
            </w:r>
          </w:p>
        </w:tc>
        <w:tc>
          <w:tcPr>
            <w:tcW w:w="5500" w:type="dxa"/>
            <w:tcBorders/>
            <w:vAlign w:val="center"/>
          </w:tcPr>
          <w:p>
            <w:pPr>
              <w:pStyle w:val="TableContents"/>
              <w:bidi w:val="0"/>
              <w:spacing w:before="60" w:after="283"/>
              <w:jc w:val="both"/>
              <w:rPr/>
            </w:pPr>
            <w:hyperlink r:id="rId50">
              <w:r>
                <w:rPr>
                  <w:rStyle w:val="InternetLink"/>
                  <w:rFonts w:ascii="Times New Roman" w:hAnsi="Times New Roman"/>
                  <w:color w:val="0000FF"/>
                  <w:sz w:val="18"/>
                  <w:u w:val="single"/>
                </w:rPr>
                <w:t>License Agreement dated May 6, 2020 between CRT and Registrant</w:t>
              </w:r>
            </w:hyperlink>
          </w:p>
        </w:tc>
        <w:tc>
          <w:tcPr>
            <w:tcW w:w="1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10.2</w:t>
            </w:r>
          </w:p>
        </w:tc>
        <w:tc>
          <w:tcPr>
            <w:tcW w:w="14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August 6, 2020</w:t>
            </w:r>
          </w:p>
        </w:tc>
        <w:tc>
          <w:tcPr>
            <w:tcW w:w="14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3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10.18(c)</w:t>
            </w:r>
          </w:p>
        </w:tc>
        <w:tc>
          <w:tcPr>
            <w:tcW w:w="146" w:type="dxa"/>
            <w:tcBorders/>
            <w:vAlign w:val="center"/>
          </w:tcPr>
          <w:p>
            <w:pPr>
              <w:pStyle w:val="TableContents"/>
              <w:bidi w:val="0"/>
              <w:spacing w:before="0" w:after="283"/>
              <w:jc w:val="left"/>
              <w:rPr>
                <w:sz w:val="4"/>
                <w:szCs w:val="4"/>
              </w:rPr>
            </w:pPr>
            <w:r>
              <w:rPr>
                <w:sz w:val="4"/>
                <w:szCs w:val="4"/>
              </w:rPr>
            </w:r>
          </w:p>
        </w:tc>
        <w:tc>
          <w:tcPr>
            <w:tcW w:w="5500" w:type="dxa"/>
            <w:tcBorders/>
            <w:vAlign w:val="center"/>
          </w:tcPr>
          <w:p>
            <w:pPr>
              <w:pStyle w:val="TableContents"/>
              <w:bidi w:val="0"/>
              <w:spacing w:before="60" w:after="283"/>
              <w:jc w:val="both"/>
              <w:rPr/>
            </w:pPr>
            <w:hyperlink r:id="rId51">
              <w:r>
                <w:rPr>
                  <w:rStyle w:val="InternetLink"/>
                  <w:rFonts w:ascii="Times New Roman" w:hAnsi="Times New Roman"/>
                  <w:color w:val="0000FF"/>
                  <w:sz w:val="18"/>
                  <w:u w:val="single"/>
                </w:rPr>
                <w:t>First Amendment to License Agreement dated April 16, 2021, between CRT and Registrant</w:t>
              </w:r>
            </w:hyperlink>
          </w:p>
        </w:tc>
        <w:tc>
          <w:tcPr>
            <w:tcW w:w="1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w:t>
            </w:r>
          </w:p>
        </w:tc>
        <w:tc>
          <w:tcPr>
            <w:tcW w:w="14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August 12, 2021</w:t>
            </w:r>
          </w:p>
        </w:tc>
        <w:tc>
          <w:tcPr>
            <w:tcW w:w="14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3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10.19</w:t>
            </w:r>
          </w:p>
        </w:tc>
        <w:tc>
          <w:tcPr>
            <w:tcW w:w="146" w:type="dxa"/>
            <w:tcBorders/>
            <w:vAlign w:val="center"/>
          </w:tcPr>
          <w:p>
            <w:pPr>
              <w:pStyle w:val="TableContents"/>
              <w:bidi w:val="0"/>
              <w:spacing w:before="0" w:after="283"/>
              <w:jc w:val="left"/>
              <w:rPr>
                <w:sz w:val="4"/>
                <w:szCs w:val="4"/>
              </w:rPr>
            </w:pPr>
            <w:r>
              <w:rPr>
                <w:sz w:val="4"/>
                <w:szCs w:val="4"/>
              </w:rPr>
            </w:r>
          </w:p>
        </w:tc>
        <w:tc>
          <w:tcPr>
            <w:tcW w:w="5500" w:type="dxa"/>
            <w:tcBorders/>
            <w:vAlign w:val="center"/>
          </w:tcPr>
          <w:p>
            <w:pPr>
              <w:pStyle w:val="TableContents"/>
              <w:bidi w:val="0"/>
              <w:spacing w:before="60" w:after="283"/>
              <w:jc w:val="both"/>
              <w:rPr/>
            </w:pPr>
            <w:hyperlink r:id="rId52">
              <w:r>
                <w:rPr>
                  <w:rStyle w:val="InternetLink"/>
                  <w:rFonts w:ascii="Times New Roman" w:hAnsi="Times New Roman"/>
                  <w:color w:val="0000FF"/>
                  <w:sz w:val="18"/>
                  <w:u w:val="single"/>
                </w:rPr>
                <w:t>Collaboration and License Agreement dated December 17, 2021, between F. Hoffmann-La Roche Ltd, Genentech, Inc., Cell Cure Neurosciences Ltd., and Registrant</w:t>
              </w:r>
            </w:hyperlink>
          </w:p>
        </w:tc>
        <w:tc>
          <w:tcPr>
            <w:tcW w:w="1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10.13</w:t>
            </w:r>
          </w:p>
        </w:tc>
        <w:tc>
          <w:tcPr>
            <w:tcW w:w="14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10-K</w:t>
            </w:r>
          </w:p>
        </w:tc>
        <w:tc>
          <w:tcPr>
            <w:tcW w:w="14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March 10, 2022</w:t>
            </w:r>
          </w:p>
        </w:tc>
        <w:tc>
          <w:tcPr>
            <w:tcW w:w="14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3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10.20</w:t>
            </w:r>
          </w:p>
        </w:tc>
        <w:tc>
          <w:tcPr>
            <w:tcW w:w="146" w:type="dxa"/>
            <w:tcBorders/>
            <w:vAlign w:val="center"/>
          </w:tcPr>
          <w:p>
            <w:pPr>
              <w:pStyle w:val="TableContents"/>
              <w:bidi w:val="0"/>
              <w:spacing w:before="0" w:after="283"/>
              <w:jc w:val="left"/>
              <w:rPr>
                <w:sz w:val="4"/>
                <w:szCs w:val="4"/>
              </w:rPr>
            </w:pPr>
            <w:r>
              <w:rPr>
                <w:sz w:val="4"/>
                <w:szCs w:val="4"/>
              </w:rPr>
            </w:r>
          </w:p>
        </w:tc>
        <w:tc>
          <w:tcPr>
            <w:tcW w:w="5500" w:type="dxa"/>
            <w:tcBorders/>
            <w:vAlign w:val="center"/>
          </w:tcPr>
          <w:p>
            <w:pPr>
              <w:pStyle w:val="TableContents"/>
              <w:bidi w:val="0"/>
              <w:spacing w:before="60" w:after="283"/>
              <w:jc w:val="both"/>
              <w:rPr/>
            </w:pPr>
            <w:hyperlink r:id="rId53">
              <w:r>
                <w:rPr>
                  <w:rStyle w:val="InternetLink"/>
                  <w:rFonts w:ascii="Times New Roman" w:hAnsi="Times New Roman"/>
                  <w:color w:val="0000FF"/>
                  <w:sz w:val="18"/>
                  <w:u w:val="single"/>
                </w:rPr>
                <w:t>Stipulation and Agreement of Compromise and Settlement dated October 26, 2022</w:t>
              </w:r>
            </w:hyperlink>
          </w:p>
        </w:tc>
        <w:tc>
          <w:tcPr>
            <w:tcW w:w="1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10.21</w:t>
            </w:r>
          </w:p>
        </w:tc>
        <w:tc>
          <w:tcPr>
            <w:tcW w:w="14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60" w:after="283"/>
              <w:jc w:val="left"/>
              <w:rPr>
                <w:color w:val="000000"/>
              </w:rPr>
            </w:pPr>
            <w:r>
              <w:rPr>
                <w:color w:val="000000"/>
              </w:rPr>
              <w:t> </w:t>
            </w:r>
            <w:r>
              <w:rPr>
                <w:rFonts w:ascii="Times New Roman" w:hAnsi="Times New Roman"/>
                <w:color w:val="000000"/>
                <w:sz w:val="18"/>
              </w:rPr>
              <w:t>10-K/A</w:t>
            </w:r>
          </w:p>
        </w:tc>
        <w:tc>
          <w:tcPr>
            <w:tcW w:w="14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60" w:after="283"/>
              <w:jc w:val="left"/>
              <w:rPr>
                <w:color w:val="000000"/>
              </w:rPr>
            </w:pPr>
            <w:r>
              <w:rPr>
                <w:color w:val="000000"/>
              </w:rPr>
              <w:t> </w:t>
            </w:r>
            <w:r>
              <w:rPr>
                <w:rFonts w:ascii="Times New Roman" w:hAnsi="Times New Roman"/>
                <w:color w:val="000000"/>
                <w:sz w:val="18"/>
              </w:rPr>
              <w:t>April 27, 2023</w:t>
            </w:r>
          </w:p>
        </w:tc>
        <w:tc>
          <w:tcPr>
            <w:tcW w:w="14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3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10.21</w:t>
            </w:r>
          </w:p>
        </w:tc>
        <w:tc>
          <w:tcPr>
            <w:tcW w:w="146" w:type="dxa"/>
            <w:tcBorders/>
            <w:vAlign w:val="center"/>
          </w:tcPr>
          <w:p>
            <w:pPr>
              <w:pStyle w:val="TableContents"/>
              <w:bidi w:val="0"/>
              <w:spacing w:before="60" w:after="283"/>
              <w:jc w:val="left"/>
              <w:rPr/>
            </w:pPr>
            <w:r>
              <w:rPr/>
              <w:t> </w:t>
            </w:r>
          </w:p>
        </w:tc>
        <w:tc>
          <w:tcPr>
            <w:tcW w:w="5500" w:type="dxa"/>
            <w:tcBorders/>
            <w:vAlign w:val="center"/>
          </w:tcPr>
          <w:p>
            <w:pPr>
              <w:pStyle w:val="TableContents"/>
              <w:bidi w:val="0"/>
              <w:spacing w:before="60" w:after="283"/>
              <w:jc w:val="both"/>
              <w:rPr/>
            </w:pPr>
            <w:hyperlink r:id="rId54">
              <w:r>
                <w:rPr>
                  <w:rStyle w:val="InternetLink"/>
                  <w:rFonts w:ascii="Times New Roman" w:hAnsi="Times New Roman"/>
                  <w:color w:val="0000FF"/>
                  <w:sz w:val="18"/>
                  <w:u w:val="single"/>
                </w:rPr>
                <w:t>Stock Purchase Agreement dated February 6, 2024</w:t>
              </w:r>
            </w:hyperlink>
          </w:p>
        </w:tc>
        <w:tc>
          <w:tcPr>
            <w:tcW w:w="146" w:type="dxa"/>
            <w:tcBorders/>
            <w:vAlign w:val="center"/>
          </w:tcPr>
          <w:p>
            <w:pPr>
              <w:pStyle w:val="TableContents"/>
              <w:bidi w:val="0"/>
              <w:spacing w:before="60" w:after="283"/>
              <w:jc w:val="left"/>
              <w:rPr/>
            </w:pPr>
            <w:r>
              <w:rPr/>
              <w:t> </w:t>
            </w:r>
          </w:p>
        </w:tc>
        <w:tc>
          <w:tcPr>
            <w:tcW w:w="56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w:t>
            </w:r>
          </w:p>
        </w:tc>
        <w:tc>
          <w:tcPr>
            <w:tcW w:w="146" w:type="dxa"/>
            <w:tcBorders/>
            <w:vAlign w:val="center"/>
          </w:tcPr>
          <w:p>
            <w:pPr>
              <w:pStyle w:val="TableContents"/>
              <w:bidi w:val="0"/>
              <w:spacing w:before="60" w:after="283"/>
              <w:jc w:val="left"/>
              <w:rPr/>
            </w:pPr>
            <w:r>
              <w:rPr/>
              <w:t> </w:t>
            </w:r>
          </w:p>
        </w:tc>
        <w:tc>
          <w:tcPr>
            <w:tcW w:w="890"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8-K</w:t>
            </w:r>
          </w:p>
        </w:tc>
        <w:tc>
          <w:tcPr>
            <w:tcW w:w="146" w:type="dxa"/>
            <w:tcBorders/>
            <w:vAlign w:val="center"/>
          </w:tcPr>
          <w:p>
            <w:pPr>
              <w:pStyle w:val="TableContents"/>
              <w:bidi w:val="0"/>
              <w:spacing w:before="60" w:after="283"/>
              <w:jc w:val="left"/>
              <w:rPr/>
            </w:pPr>
            <w:r>
              <w:rPr/>
              <w:t> </w:t>
            </w:r>
          </w:p>
        </w:tc>
        <w:tc>
          <w:tcPr>
            <w:tcW w:w="1080"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February 6, 2024</w:t>
            </w:r>
          </w:p>
        </w:tc>
        <w:tc>
          <w:tcPr>
            <w:tcW w:w="146" w:type="dxa"/>
            <w:tcBorders/>
            <w:vAlign w:val="center"/>
          </w:tcPr>
          <w:p>
            <w:pPr>
              <w:pStyle w:val="TableContents"/>
              <w:bidi w:val="0"/>
              <w:spacing w:before="60" w:after="283"/>
              <w:jc w:val="left"/>
              <w:rPr/>
            </w:pPr>
            <w:r>
              <w:rPr/>
              <w:t> </w:t>
            </w:r>
          </w:p>
        </w:tc>
        <w:tc>
          <w:tcPr>
            <w:tcW w:w="805"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bl>
    <w:p>
      <w:pPr>
        <w:pStyle w:val="TextBody"/>
        <w:bidi w:val="0"/>
        <w:spacing w:before="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07"/>
        <w:gridCol w:w="109"/>
        <w:gridCol w:w="8471"/>
        <w:gridCol w:w="109"/>
        <w:gridCol w:w="109"/>
        <w:gridCol w:w="109"/>
        <w:gridCol w:w="109"/>
        <w:gridCol w:w="109"/>
        <w:gridCol w:w="109"/>
        <w:gridCol w:w="109"/>
        <w:gridCol w:w="155"/>
      </w:tblGrid>
      <w:tr>
        <w:trPr/>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11"/>
            <w:tcBorders/>
            <w:vAlign w:val="center"/>
          </w:tcPr>
          <w:p>
            <w:pPr>
              <w:pStyle w:val="TableContents"/>
              <w:bidi w:val="0"/>
              <w:spacing w:before="60" w:after="283"/>
              <w:jc w:val="left"/>
              <w:rPr>
                <w:rFonts w:ascii="Times New Roman" w:hAnsi="Times New Roman"/>
                <w:i/>
                <w:color w:val="000000"/>
                <w:sz w:val="18"/>
              </w:rPr>
            </w:pPr>
            <w:r>
              <w:rPr>
                <w:rFonts w:ascii="Times New Roman" w:hAnsi="Times New Roman"/>
                <w:i/>
                <w:color w:val="000000"/>
                <w:sz w:val="18"/>
              </w:rPr>
              <w:t>OTHER EXHIBITS</w:t>
            </w:r>
          </w:p>
        </w:tc>
      </w:tr>
      <w:tr>
        <w:trPr/>
        <w:tc>
          <w:tcPr>
            <w:tcW w:w="707"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21.01*</w:t>
            </w:r>
          </w:p>
        </w:tc>
        <w:tc>
          <w:tcPr>
            <w:tcW w:w="109" w:type="dxa"/>
            <w:tcBorders/>
            <w:vAlign w:val="center"/>
          </w:tcPr>
          <w:p>
            <w:pPr>
              <w:pStyle w:val="TableContents"/>
              <w:bidi w:val="0"/>
              <w:spacing w:before="0" w:after="283"/>
              <w:jc w:val="left"/>
              <w:rPr>
                <w:sz w:val="4"/>
                <w:szCs w:val="4"/>
              </w:rPr>
            </w:pPr>
            <w:r>
              <w:rPr>
                <w:sz w:val="4"/>
                <w:szCs w:val="4"/>
              </w:rPr>
            </w:r>
          </w:p>
        </w:tc>
        <w:tc>
          <w:tcPr>
            <w:tcW w:w="8471" w:type="dxa"/>
            <w:tcBorders/>
            <w:vAlign w:val="center"/>
          </w:tcPr>
          <w:p>
            <w:pPr>
              <w:pStyle w:val="TableContents"/>
              <w:bidi w:val="0"/>
              <w:spacing w:before="60" w:after="283"/>
              <w:jc w:val="both"/>
              <w:rPr/>
            </w:pPr>
            <w:hyperlink w:anchor="lctx-ex21_1.htm">
              <w:r>
                <w:rPr>
                  <w:rStyle w:val="InternetLink"/>
                  <w:rFonts w:ascii="Times New Roman" w:hAnsi="Times New Roman"/>
                  <w:color w:val="0000FF"/>
                  <w:sz w:val="18"/>
                  <w:u w:val="single"/>
                </w:rPr>
                <w:t>List of Subsidiaries of the Registrant</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23.01*</w:t>
            </w:r>
          </w:p>
        </w:tc>
        <w:tc>
          <w:tcPr>
            <w:tcW w:w="109" w:type="dxa"/>
            <w:tcBorders/>
            <w:vAlign w:val="center"/>
          </w:tcPr>
          <w:p>
            <w:pPr>
              <w:pStyle w:val="TableContents"/>
              <w:bidi w:val="0"/>
              <w:spacing w:before="0" w:after="283"/>
              <w:jc w:val="left"/>
              <w:rPr>
                <w:sz w:val="4"/>
                <w:szCs w:val="4"/>
              </w:rPr>
            </w:pPr>
            <w:r>
              <w:rPr>
                <w:sz w:val="4"/>
                <w:szCs w:val="4"/>
              </w:rPr>
            </w:r>
          </w:p>
        </w:tc>
        <w:tc>
          <w:tcPr>
            <w:tcW w:w="8471" w:type="dxa"/>
            <w:tcBorders/>
            <w:vAlign w:val="center"/>
          </w:tcPr>
          <w:p>
            <w:pPr>
              <w:pStyle w:val="TableContents"/>
              <w:bidi w:val="0"/>
              <w:spacing w:before="60" w:after="283"/>
              <w:jc w:val="both"/>
              <w:rPr/>
            </w:pPr>
            <w:hyperlink w:anchor="lctx-ex23_1.htm">
              <w:r>
                <w:rPr>
                  <w:rStyle w:val="InternetLink"/>
                  <w:rFonts w:ascii="Times New Roman" w:hAnsi="Times New Roman"/>
                  <w:color w:val="0000FF"/>
                  <w:sz w:val="18"/>
                  <w:u w:val="single"/>
                </w:rPr>
                <w:t>Consent of WithumSmith+Brown, PC</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31.01*</w:t>
            </w:r>
          </w:p>
        </w:tc>
        <w:tc>
          <w:tcPr>
            <w:tcW w:w="109" w:type="dxa"/>
            <w:tcBorders/>
            <w:vAlign w:val="center"/>
          </w:tcPr>
          <w:p>
            <w:pPr>
              <w:pStyle w:val="TableContents"/>
              <w:bidi w:val="0"/>
              <w:spacing w:before="0" w:after="283"/>
              <w:jc w:val="left"/>
              <w:rPr>
                <w:sz w:val="4"/>
                <w:szCs w:val="4"/>
              </w:rPr>
            </w:pPr>
            <w:r>
              <w:rPr>
                <w:sz w:val="4"/>
                <w:szCs w:val="4"/>
              </w:rPr>
            </w:r>
          </w:p>
        </w:tc>
        <w:tc>
          <w:tcPr>
            <w:tcW w:w="8471" w:type="dxa"/>
            <w:tcBorders/>
            <w:vAlign w:val="center"/>
          </w:tcPr>
          <w:p>
            <w:pPr>
              <w:pStyle w:val="TableContents"/>
              <w:bidi w:val="0"/>
              <w:spacing w:before="60" w:after="283"/>
              <w:jc w:val="both"/>
              <w:rPr/>
            </w:pPr>
            <w:hyperlink w:anchor="lctx-ex31_1.htm">
              <w:r>
                <w:rPr>
                  <w:rStyle w:val="InternetLink"/>
                  <w:rFonts w:ascii="Times New Roman" w:hAnsi="Times New Roman"/>
                  <w:color w:val="0000FF"/>
                  <w:sz w:val="18"/>
                  <w:u w:val="single"/>
                </w:rPr>
                <w:t>Certification of Chief Executive Officer pursuant to Exchange Act Rules 13a-14(a) and 15d-14(a), as adopted pursuant to Section 302(a)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31.02*</w:t>
            </w:r>
          </w:p>
        </w:tc>
        <w:tc>
          <w:tcPr>
            <w:tcW w:w="109" w:type="dxa"/>
            <w:tcBorders/>
            <w:vAlign w:val="center"/>
          </w:tcPr>
          <w:p>
            <w:pPr>
              <w:pStyle w:val="TableContents"/>
              <w:bidi w:val="0"/>
              <w:spacing w:before="0" w:after="283"/>
              <w:jc w:val="left"/>
              <w:rPr>
                <w:sz w:val="4"/>
                <w:szCs w:val="4"/>
              </w:rPr>
            </w:pPr>
            <w:r>
              <w:rPr>
                <w:sz w:val="4"/>
                <w:szCs w:val="4"/>
              </w:rPr>
            </w:r>
          </w:p>
        </w:tc>
        <w:tc>
          <w:tcPr>
            <w:tcW w:w="8471" w:type="dxa"/>
            <w:tcBorders/>
            <w:vAlign w:val="center"/>
          </w:tcPr>
          <w:p>
            <w:pPr>
              <w:pStyle w:val="TableContents"/>
              <w:bidi w:val="0"/>
              <w:spacing w:before="60" w:after="283"/>
              <w:jc w:val="both"/>
              <w:rPr/>
            </w:pPr>
            <w:hyperlink w:anchor="lctx-ex31_2.htm">
              <w:r>
                <w:rPr>
                  <w:rStyle w:val="InternetLink"/>
                  <w:rFonts w:ascii="Times New Roman" w:hAnsi="Times New Roman"/>
                  <w:color w:val="0000FF"/>
                  <w:sz w:val="18"/>
                  <w:u w:val="single"/>
                </w:rPr>
                <w:t>Certification of Chief Financial Officer pursuant to Exchange Act Rules 13a-14(a) and 15d-14(a), as adopted pursuant to Section 302(a)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 w:type="dxa"/>
            <w:tcBorders/>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32.01#</w:t>
            </w:r>
          </w:p>
        </w:tc>
        <w:tc>
          <w:tcPr>
            <w:tcW w:w="109" w:type="dxa"/>
            <w:tcBorders/>
            <w:vAlign w:val="center"/>
          </w:tcPr>
          <w:p>
            <w:pPr>
              <w:pStyle w:val="TableContents"/>
              <w:bidi w:val="0"/>
              <w:spacing w:before="0" w:after="283"/>
              <w:jc w:val="left"/>
              <w:rPr>
                <w:sz w:val="4"/>
                <w:szCs w:val="4"/>
              </w:rPr>
            </w:pPr>
            <w:r>
              <w:rPr>
                <w:sz w:val="4"/>
                <w:szCs w:val="4"/>
              </w:rPr>
            </w:r>
          </w:p>
        </w:tc>
        <w:tc>
          <w:tcPr>
            <w:tcW w:w="8471" w:type="dxa"/>
            <w:tcBorders/>
            <w:vAlign w:val="center"/>
          </w:tcPr>
          <w:p>
            <w:pPr>
              <w:pStyle w:val="TableContents"/>
              <w:bidi w:val="0"/>
              <w:spacing w:before="60" w:after="283"/>
              <w:jc w:val="both"/>
              <w:rPr/>
            </w:pPr>
            <w:hyperlink w:anchor="lctx-ex32_1.htm">
              <w:r>
                <w:rPr>
                  <w:rStyle w:val="InternetLink"/>
                  <w:rFonts w:ascii="Times New Roman" w:hAnsi="Times New Roman"/>
                  <w:color w:val="0000FF"/>
                  <w:sz w:val="18"/>
                  <w:u w:val="single"/>
                </w:rPr>
                <w:t>Certifications of Chief Executive Officer and Chief Financial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97*</w:t>
            </w:r>
          </w:p>
        </w:tc>
        <w:tc>
          <w:tcPr>
            <w:tcW w:w="109" w:type="dxa"/>
            <w:tcBorders/>
            <w:vAlign w:val="center"/>
          </w:tcPr>
          <w:p>
            <w:pPr>
              <w:pStyle w:val="TableContents"/>
              <w:bidi w:val="0"/>
              <w:spacing w:before="0" w:after="283"/>
              <w:jc w:val="left"/>
              <w:rPr>
                <w:sz w:val="4"/>
                <w:szCs w:val="4"/>
              </w:rPr>
            </w:pPr>
            <w:r>
              <w:rPr>
                <w:sz w:val="4"/>
                <w:szCs w:val="4"/>
              </w:rPr>
            </w:r>
          </w:p>
        </w:tc>
        <w:tc>
          <w:tcPr>
            <w:tcW w:w="8471" w:type="dxa"/>
            <w:tcBorders/>
            <w:vAlign w:val="center"/>
          </w:tcPr>
          <w:p>
            <w:pPr>
              <w:pStyle w:val="TableContents"/>
              <w:bidi w:val="0"/>
              <w:spacing w:before="0" w:after="283"/>
              <w:jc w:val="both"/>
              <w:rPr/>
            </w:pPr>
            <w:hyperlink w:anchor="lctx-ex97.htm">
              <w:r>
                <w:rPr>
                  <w:rStyle w:val="InternetLink"/>
                  <w:rFonts w:ascii="Times New Roman" w:hAnsi="Times New Roman"/>
                  <w:color w:val="0000FF"/>
                  <w:sz w:val="18"/>
                  <w:u w:val="single"/>
                </w:rPr>
                <w:t>Lineage Cell Therapeutics, Inc. Clawback Policy</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 w:type="dxa"/>
            <w:tcBorders/>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101.INS*</w:t>
            </w:r>
          </w:p>
        </w:tc>
        <w:tc>
          <w:tcPr>
            <w:tcW w:w="109" w:type="dxa"/>
            <w:tcBorders/>
            <w:vAlign w:val="center"/>
          </w:tcPr>
          <w:p>
            <w:pPr>
              <w:pStyle w:val="TableContents"/>
              <w:bidi w:val="0"/>
              <w:spacing w:before="0" w:after="283"/>
              <w:jc w:val="left"/>
              <w:rPr>
                <w:sz w:val="4"/>
                <w:szCs w:val="4"/>
              </w:rPr>
            </w:pPr>
            <w:r>
              <w:rPr>
                <w:sz w:val="4"/>
                <w:szCs w:val="4"/>
              </w:rPr>
            </w:r>
          </w:p>
        </w:tc>
        <w:tc>
          <w:tcPr>
            <w:tcW w:w="8471" w:type="dxa"/>
            <w:tcBorders/>
            <w:vAlign w:val="center"/>
          </w:tcPr>
          <w:p>
            <w:pPr>
              <w:pStyle w:val="TableContents"/>
              <w:bidi w:val="0"/>
              <w:spacing w:before="120" w:after="283"/>
              <w:jc w:val="both"/>
              <w:rPr>
                <w:rFonts w:ascii="Times New Roman" w:hAnsi="Times New Roman"/>
                <w:sz w:val="20"/>
              </w:rPr>
            </w:pPr>
            <w:r>
              <w:rPr>
                <w:rFonts w:ascii="Times New Roman" w:hAnsi="Times New Roman"/>
                <w:color w:val="000000"/>
                <w:sz w:val="18"/>
              </w:rPr>
              <w:t xml:space="preserve">XBRL Instance Document - </w:t>
            </w:r>
            <w:r>
              <w:rPr>
                <w:rFonts w:ascii="Times New Roman" w:hAnsi="Times New Roman"/>
                <w:color w:val="000000"/>
                <w:sz w:val="20"/>
              </w:rPr>
              <w:t>the instance document does not appear in the Interactive Data File because XBRL tags are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9"/>
        <w:gridCol w:w="109"/>
        <w:gridCol w:w="8349"/>
        <w:gridCol w:w="109"/>
        <w:gridCol w:w="109"/>
        <w:gridCol w:w="109"/>
        <w:gridCol w:w="109"/>
        <w:gridCol w:w="109"/>
        <w:gridCol w:w="109"/>
        <w:gridCol w:w="109"/>
        <w:gridCol w:w="155"/>
      </w:tblGrid>
      <w:tr>
        <w:trPr/>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29"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101.SCH*</w:t>
            </w:r>
          </w:p>
        </w:tc>
        <w:tc>
          <w:tcPr>
            <w:tcW w:w="109" w:type="dxa"/>
            <w:tcBorders/>
            <w:vAlign w:val="center"/>
          </w:tcPr>
          <w:p>
            <w:pPr>
              <w:pStyle w:val="TableContents"/>
              <w:bidi w:val="0"/>
              <w:spacing w:before="0" w:after="283"/>
              <w:jc w:val="left"/>
              <w:rPr>
                <w:sz w:val="4"/>
                <w:szCs w:val="4"/>
              </w:rPr>
            </w:pPr>
            <w:r>
              <w:rPr>
                <w:sz w:val="4"/>
                <w:szCs w:val="4"/>
              </w:rPr>
            </w:r>
          </w:p>
        </w:tc>
        <w:tc>
          <w:tcPr>
            <w:tcW w:w="8349" w:type="dxa"/>
            <w:tcBorders/>
            <w:vAlign w:val="center"/>
          </w:tcPr>
          <w:p>
            <w:pPr>
              <w:pStyle w:val="TableContents"/>
              <w:bidi w:val="0"/>
              <w:spacing w:before="0" w:after="283"/>
              <w:jc w:val="both"/>
              <w:rPr>
                <w:rFonts w:ascii="Times New Roman" w:hAnsi="Times New Roman"/>
                <w:sz w:val="20"/>
              </w:rPr>
            </w:pPr>
            <w:r>
              <w:rPr>
                <w:rFonts w:ascii="Times New Roman" w:hAnsi="Times New Roman"/>
                <w:color w:val="000000"/>
                <w:sz w:val="18"/>
              </w:rPr>
              <w:t>XBRL Taxonomy Extension Schema - I</w:t>
            </w:r>
            <w:r>
              <w:rPr>
                <w:rFonts w:ascii="Times New Roman" w:hAnsi="Times New Roman"/>
                <w:color w:val="000000"/>
                <w:sz w:val="20"/>
              </w:rPr>
              <w:t>nline XBRL Taxonomy Extension Schema With Embedded Linkbase Documents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29"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109" w:type="dxa"/>
            <w:tcBorders/>
            <w:vAlign w:val="center"/>
          </w:tcPr>
          <w:p>
            <w:pPr>
              <w:pStyle w:val="TableContents"/>
              <w:bidi w:val="0"/>
              <w:spacing w:before="0" w:after="283"/>
              <w:jc w:val="left"/>
              <w:rPr>
                <w:sz w:val="4"/>
                <w:szCs w:val="4"/>
              </w:rPr>
            </w:pPr>
            <w:r>
              <w:rPr>
                <w:sz w:val="4"/>
                <w:szCs w:val="4"/>
              </w:rPr>
            </w:r>
          </w:p>
        </w:tc>
        <w:tc>
          <w:tcPr>
            <w:tcW w:w="8349" w:type="dxa"/>
            <w:tcBorders/>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Cover Page Interactive Data File (formatted as Inline XBRL and contained in Exhibit 101)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The schedules and exhibits to the merger agreement have been omitted pursuant to Item 601(b)(2) of Regulation S-K. A copy of any omitted schedule and/or exhibit will be furnished to the Securities and Exchange Commission upon request.</w:t>
      </w:r>
    </w:p>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Furnished herewith.</w:t>
      </w:r>
    </w:p>
    <w:p>
      <w:pPr>
        <w:pStyle w:val="TextBody"/>
        <w:bidi w:val="0"/>
        <w:jc w:val="both"/>
        <w:rPr>
          <w:rFonts w:ascii="Times New Roman" w:hAnsi="Times New Roman"/>
          <w:color w:val="000000"/>
          <w:sz w:val="20"/>
        </w:rPr>
      </w:pPr>
      <w:r>
        <w:rPr>
          <w:rFonts w:ascii="Times New Roman" w:hAnsi="Times New Roman"/>
          <w:color w:val="000000"/>
          <w:sz w:val="20"/>
        </w:rPr>
        <w:t>+ Indicates management contract or compensatory plan or arrangement.</w:t>
      </w:r>
    </w:p>
    <w:p>
      <w:pPr>
        <w:pStyle w:val="TextBody"/>
        <w:bidi w:val="0"/>
        <w:jc w:val="both"/>
        <w:rPr>
          <w:rFonts w:ascii="Times New Roman" w:hAnsi="Times New Roman"/>
          <w:color w:val="000000"/>
          <w:sz w:val="20"/>
        </w:rPr>
      </w:pPr>
      <w:r>
        <w:rPr>
          <w:rFonts w:ascii="Times New Roman" w:hAnsi="Times New Roman"/>
          <w:color w:val="000000"/>
          <w:sz w:val="20"/>
        </w:rPr>
        <w:t> Portions of this exhibit have been omitted pursuant to a request for confidential treatment.</w:t>
      </w:r>
    </w:p>
    <w:p>
      <w:pPr>
        <w:pStyle w:val="TextBody"/>
        <w:bidi w:val="0"/>
        <w:jc w:val="left"/>
        <w:rPr>
          <w:rFonts w:ascii="Times New Roman" w:hAnsi="Times New Roman"/>
          <w:color w:val="000000"/>
          <w:sz w:val="20"/>
        </w:rPr>
      </w:pPr>
      <w:r>
        <w:rPr>
          <w:rFonts w:ascii="Times New Roman" w:hAnsi="Times New Roman"/>
          <w:color w:val="000000"/>
          <w:sz w:val="20"/>
        </w:rPr>
        <w:t> Certain information in this exhibit has been omitted pursuant to Item 601 of Regulation S-K.</w:t>
      </w:r>
    </w:p>
    <w:p>
      <w:pPr>
        <w:pStyle w:val="TextBody"/>
        <w:bidi w:val="0"/>
        <w:spacing w:before="360" w:after="283"/>
        <w:jc w:val="left"/>
        <w:rPr>
          <w:rFonts w:ascii="Times New Roman" w:hAnsi="Times New Roman"/>
          <w:b/>
          <w:color w:val="000000"/>
          <w:sz w:val="20"/>
        </w:rPr>
      </w:pPr>
      <w:bookmarkStart w:id="35" w:name="item_16_form_10_k_summary"/>
      <w:bookmarkEnd w:id="35"/>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6" w:name="signatures"/>
      <w:bookmarkEnd w:id="36"/>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on Form 10-K to be signed on its behalf by the undersigned, thereunto duly authorized.</w:t>
      </w:r>
    </w:p>
    <w:tbl>
      <w:tblPr>
        <w:tblW w:w="5382" w:type="dxa"/>
        <w:jc w:val="left"/>
        <w:tblInd w:w="0" w:type="dxa"/>
        <w:tblLayout w:type="fixed"/>
        <w:tblCellMar>
          <w:top w:w="28" w:type="dxa"/>
          <w:left w:w="28" w:type="dxa"/>
          <w:bottom w:w="28" w:type="dxa"/>
          <w:right w:w="28" w:type="dxa"/>
        </w:tblCellMar>
      </w:tblPr>
      <w:tblGrid>
        <w:gridCol w:w="1786"/>
        <w:gridCol w:w="146"/>
        <w:gridCol w:w="565"/>
        <w:gridCol w:w="2885"/>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7, 2024</w:t>
            </w:r>
          </w:p>
        </w:tc>
        <w:tc>
          <w:tcPr>
            <w:tcW w:w="146" w:type="dxa"/>
            <w:tcBorders/>
            <w:vAlign w:val="center"/>
          </w:tcPr>
          <w:p>
            <w:pPr>
              <w:pStyle w:val="TableContents"/>
              <w:bidi w:val="0"/>
              <w:spacing w:before="0" w:after="283"/>
              <w:jc w:val="left"/>
              <w:rPr/>
            </w:pPr>
            <w:r>
              <w:rPr/>
              <w:t> </w:t>
            </w:r>
          </w:p>
        </w:tc>
        <w:tc>
          <w:tcPr>
            <w:tcW w:w="3450"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LINEAGE CELL THERAPEUTICS, INC.</w:t>
            </w:r>
          </w:p>
        </w:tc>
      </w:tr>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450" w:type="dxa"/>
            <w:gridSpan w:val="2"/>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8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Brian M. Culley</w:t>
            </w:r>
          </w:p>
        </w:tc>
      </w:tr>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M. Culley</w:t>
            </w:r>
          </w:p>
        </w:tc>
      </w:tr>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p>
    <w:tbl>
      <w:tblPr>
        <w:tblW w:w="7391" w:type="dxa"/>
        <w:jc w:val="left"/>
        <w:tblInd w:w="0" w:type="dxa"/>
        <w:tblLayout w:type="fixed"/>
        <w:tblCellMar>
          <w:top w:w="28" w:type="dxa"/>
          <w:left w:w="28" w:type="dxa"/>
          <w:bottom w:w="28" w:type="dxa"/>
          <w:right w:w="28" w:type="dxa"/>
        </w:tblCellMar>
      </w:tblPr>
      <w:tblGrid>
        <w:gridCol w:w="2116"/>
        <w:gridCol w:w="109"/>
        <w:gridCol w:w="3721"/>
        <w:gridCol w:w="109"/>
        <w:gridCol w:w="1336"/>
      </w:tblGrid>
      <w:tr>
        <w:trPr/>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Signature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Date</w:t>
            </w:r>
          </w:p>
        </w:tc>
      </w:tr>
      <w:tr>
        <w:trPr/>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Brian M. Culley</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2024</w:t>
            </w:r>
          </w:p>
        </w:tc>
      </w:tr>
      <w:tr>
        <w:trPr/>
        <w:tc>
          <w:tcPr>
            <w:tcW w:w="21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M. CULLEY</w:t>
            </w:r>
          </w:p>
        </w:tc>
        <w:tc>
          <w:tcPr>
            <w:tcW w:w="109"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/s/ Jill Ann Howe</w:t>
            </w:r>
            <w:r>
              <w:rPr>
                <w:rFonts w:ascii="Times New Roman" w:hAnsi="Times New Roman"/>
                <w:color w:val="000000"/>
                <w:sz w:val="20"/>
              </w:rPr>
              <w:t xml:space="preserve"> </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2024</w:t>
            </w:r>
          </w:p>
        </w:tc>
      </w:tr>
      <w:tr>
        <w:trPr/>
        <w:tc>
          <w:tcPr>
            <w:tcW w:w="21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JILL ANN HOWE</w:t>
            </w:r>
          </w:p>
        </w:tc>
        <w:tc>
          <w:tcPr>
            <w:tcW w:w="109"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Deborah Andrews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2024</w:t>
            </w:r>
          </w:p>
        </w:tc>
      </w:tr>
      <w:tr>
        <w:trPr/>
        <w:tc>
          <w:tcPr>
            <w:tcW w:w="21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DEBORAH ANDREWS</w:t>
            </w:r>
          </w:p>
        </w:tc>
        <w:tc>
          <w:tcPr>
            <w:tcW w:w="109"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Dipti Amin</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2024</w:t>
            </w:r>
          </w:p>
        </w:tc>
      </w:tr>
      <w:tr>
        <w:trPr/>
        <w:tc>
          <w:tcPr>
            <w:tcW w:w="21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DIPTI AMIN</w:t>
            </w:r>
          </w:p>
        </w:tc>
        <w:tc>
          <w:tcPr>
            <w:tcW w:w="109"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Don M. Bailey</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2024</w:t>
            </w:r>
          </w:p>
        </w:tc>
      </w:tr>
      <w:tr>
        <w:trPr/>
        <w:tc>
          <w:tcPr>
            <w:tcW w:w="21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DON M. BAILEY</w:t>
            </w:r>
          </w:p>
        </w:tc>
        <w:tc>
          <w:tcPr>
            <w:tcW w:w="109"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Neal C. Bradsher</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2024</w:t>
            </w:r>
          </w:p>
        </w:tc>
      </w:tr>
      <w:tr>
        <w:trPr/>
        <w:tc>
          <w:tcPr>
            <w:tcW w:w="21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NEAL C. BRADSHER</w:t>
            </w:r>
          </w:p>
        </w:tc>
        <w:tc>
          <w:tcPr>
            <w:tcW w:w="109"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Alfred D. Kingsley</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2024</w:t>
            </w:r>
          </w:p>
        </w:tc>
      </w:tr>
      <w:tr>
        <w:trPr/>
        <w:tc>
          <w:tcPr>
            <w:tcW w:w="21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ALFRED D. KINGSLEY</w:t>
            </w:r>
          </w:p>
        </w:tc>
        <w:tc>
          <w:tcPr>
            <w:tcW w:w="109"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Anula Jayasuriya</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2024</w:t>
            </w:r>
          </w:p>
        </w:tc>
      </w:tr>
      <w:tr>
        <w:trPr/>
        <w:tc>
          <w:tcPr>
            <w:tcW w:w="21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ANULA JAYASURIYA</w:t>
            </w:r>
          </w:p>
        </w:tc>
        <w:tc>
          <w:tcPr>
            <w:tcW w:w="109"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Michael H. Mulroy</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2024</w:t>
            </w:r>
          </w:p>
        </w:tc>
      </w:tr>
      <w:tr>
        <w:trPr/>
        <w:tc>
          <w:tcPr>
            <w:tcW w:w="21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H. MULROY</w:t>
            </w:r>
          </w:p>
        </w:tc>
        <w:tc>
          <w:tcPr>
            <w:tcW w:w="109"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Angus C. Russell</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2024</w:t>
            </w:r>
          </w:p>
        </w:tc>
      </w:tr>
      <w:tr>
        <w:trPr/>
        <w:tc>
          <w:tcPr>
            <w:tcW w:w="21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ANGUS C. RUSSELL</w:t>
            </w:r>
          </w:p>
        </w:tc>
        <w:tc>
          <w:tcPr>
            <w:tcW w:w="109"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jc w:val="right"/>
        <w:rPr>
          <w:rFonts w:ascii="Calibri;sans-serif" w:hAnsi="Calibri;sans-serif"/>
          <w:b/>
          <w:color w:val="000000"/>
          <w:sz w:val="24"/>
        </w:rPr>
      </w:pPr>
      <w:bookmarkStart w:id="37" w:name="lctx-ex10_04a.htm"/>
      <w:bookmarkStart w:id="38" w:name="kslctxex10_04a"/>
      <w:bookmarkEnd w:id="37"/>
      <w:bookmarkEnd w:id="38"/>
      <w:r>
        <w:rPr>
          <w:rFonts w:ascii="Calibri;sans-serif" w:hAnsi="Calibri;sans-serif"/>
          <w:b/>
          <w:color w:val="000000"/>
          <w:sz w:val="24"/>
        </w:rPr>
        <w:t>Exhibit 10.04(a)</w:t>
      </w:r>
      <w:r>
        <w:br w:type="page"/>
      </w:r>
    </w:p>
    <w:p>
      <w:pPr>
        <w:pStyle w:val="TextBody"/>
        <w:bidi w:val="0"/>
        <w:jc w:val="right"/>
        <w:rPr/>
      </w:pPr>
      <w:r>
        <w:rPr/>
        <w:t> </w:t>
      </w:r>
    </w:p>
    <w:p>
      <w:pPr>
        <w:pStyle w:val="TextBody"/>
        <w:bidi w:val="0"/>
        <w:jc w:val="both"/>
        <w:rPr/>
      </w:pPr>
      <w:r>
        <w:rPr/>
        <w:drawing>
          <wp:inline distT="0" distB="0" distL="0" distR="0">
            <wp:extent cx="2047875" cy="523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55"/>
                    <a:stretch>
                      <a:fillRect/>
                    </a:stretch>
                  </pic:blipFill>
                  <pic:spPr bwMode="auto">
                    <a:xfrm>
                      <a:off x="0" y="0"/>
                      <a:ext cx="2047875" cy="523875"/>
                    </a:xfrm>
                    <a:prstGeom prst="rect">
                      <a:avLst/>
                    </a:prstGeom>
                  </pic:spPr>
                </pic:pic>
              </a:graphicData>
            </a:graphic>
          </wp:inline>
        </w:drawing>
      </w:r>
      <w:r>
        <w:rPr/>
        <w:t> </w:t>
      </w:r>
    </w:p>
    <w:p>
      <w:pPr>
        <w:pStyle w:val="TextBody"/>
        <w:bidi w:val="0"/>
        <w:spacing w:before="480" w:after="283"/>
        <w:jc w:val="left"/>
        <w:rPr>
          <w:rFonts w:ascii="Times New Roman" w:hAnsi="Times New Roman"/>
          <w:color w:val="000000"/>
          <w:sz w:val="24"/>
        </w:rPr>
      </w:pPr>
      <w:r>
        <w:rPr>
          <w:rFonts w:ascii="Times New Roman" w:hAnsi="Times New Roman"/>
          <w:color w:val="000000"/>
          <w:sz w:val="24"/>
        </w:rPr>
        <w:t>November 30, 2023</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Gary S. Hogge, DVM, PhD.</w:t>
      </w:r>
    </w:p>
    <w:p>
      <w:pPr>
        <w:pStyle w:val="TextBody"/>
        <w:bidi w:val="0"/>
        <w:jc w:val="left"/>
        <w:rPr>
          <w:rFonts w:ascii="Times New Roman" w:hAnsi="Times New Roman"/>
          <w:sz w:val="20"/>
        </w:rPr>
      </w:pPr>
      <w:r>
        <w:rPr>
          <w:rFonts w:ascii="Times New Roman" w:hAnsi="Times New Roman"/>
          <w:color w:val="000000"/>
          <w:sz w:val="24"/>
        </w:rPr>
        <w:t>c/o Lineage Cell Therapeutics,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2173 Salk Avenue, Suite 200</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Carlsbad, CA 92008</w:t>
      </w:r>
      <w:r>
        <w:rPr>
          <w:rFonts w:ascii="Times New Roman" w:hAnsi="Times New Roman"/>
          <w:color w:val="000000"/>
          <w:sz w:val="20"/>
        </w:rPr>
        <w:t xml:space="preserve"> </w:t>
      </w:r>
    </w:p>
    <w:p>
      <w:pPr>
        <w:pStyle w:val="TextBody"/>
        <w:bidi w:val="0"/>
        <w:spacing w:before="0" w:after="24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Re: Separation, Release and Consulting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Dear Gary:</w:t>
      </w:r>
    </w:p>
    <w:p>
      <w:pPr>
        <w:pStyle w:val="TextBody"/>
        <w:bidi w:val="0"/>
        <w:spacing w:before="0" w:after="240"/>
        <w:jc w:val="both"/>
        <w:rPr>
          <w:rFonts w:ascii="Times New Roman" w:hAnsi="Times New Roman"/>
          <w:sz w:val="20"/>
        </w:rPr>
      </w:pPr>
      <w:r>
        <w:rPr>
          <w:rFonts w:ascii="Times New Roman" w:hAnsi="Times New Roman"/>
          <w:color w:val="000000"/>
          <w:sz w:val="24"/>
        </w:rPr>
        <w:t>This Separation, Release and Consulting Agreement (this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summarizes the terms and conditions of the separation, release and consulting agreement that Lineage Cell Therapeutics, Inc. (“</w:t>
      </w:r>
      <w:r>
        <w:rPr>
          <w:rFonts w:ascii="Times New Roman" w:hAnsi="Times New Roman"/>
          <w:b/>
          <w:i/>
          <w:color w:val="000000"/>
          <w:sz w:val="24"/>
        </w:rPr>
        <w:t>Lineage</w:t>
      </w:r>
      <w:r>
        <w:rPr>
          <w:rFonts w:ascii="Times New Roman" w:hAnsi="Times New Roman"/>
          <w:color w:val="000000"/>
          <w:sz w:val="20"/>
        </w:rPr>
        <w:t>”</w:t>
      </w:r>
      <w:r>
        <w:rPr>
          <w:rFonts w:ascii="Times New Roman" w:hAnsi="Times New Roman"/>
          <w:color w:val="000000"/>
          <w:sz w:val="24"/>
        </w:rPr>
        <w:t>) is offering you in connection with your employment termination.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Employment Termination and Final Accrued Payments.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 xml:space="preserve">Separation Date. </w:t>
      </w:r>
      <w:r>
        <w:rPr>
          <w:rFonts w:ascii="Times New Roman" w:hAnsi="Times New Roman"/>
          <w:color w:val="000000"/>
          <w:sz w:val="24"/>
        </w:rPr>
        <w:t>As previously communicated to you, your last day of employment with Lineage or any of its subsidiaries or affiliates is November 30, 2023 (the “</w:t>
      </w:r>
      <w:r>
        <w:rPr>
          <w:rFonts w:ascii="Times New Roman" w:hAnsi="Times New Roman"/>
          <w:b/>
          <w:i/>
          <w:color w:val="000000"/>
          <w:sz w:val="24"/>
        </w:rPr>
        <w:t>Separation Date</w:t>
      </w:r>
      <w:r>
        <w:rPr>
          <w:color w:val="000000"/>
        </w:rPr>
        <w:t>”</w:t>
      </w:r>
      <w:r>
        <w:rPr>
          <w:rFonts w:ascii="Times New Roman" w:hAnsi="Times New Roman"/>
          <w:color w:val="000000"/>
          <w:sz w:val="24"/>
        </w:rPr>
        <w:t>). You understand and agree that effective as of the Separation Date, each of (i) that certain Amended and Restated Employment Agreement between you and Lineage made as of September 26, 2022 (the “</w:t>
      </w:r>
      <w:r>
        <w:rPr>
          <w:rFonts w:ascii="Times New Roman" w:hAnsi="Times New Roman"/>
          <w:b/>
          <w:i/>
          <w:color w:val="000000"/>
          <w:sz w:val="24"/>
        </w:rPr>
        <w:t>Employment Agreement</w:t>
      </w:r>
      <w:r>
        <w:rPr>
          <w:color w:val="000000"/>
        </w:rPr>
        <w:t>”</w:t>
      </w:r>
      <w:r>
        <w:rPr>
          <w:rFonts w:ascii="Times New Roman" w:hAnsi="Times New Roman"/>
          <w:color w:val="000000"/>
          <w:sz w:val="24"/>
        </w:rPr>
        <w:t>) and (ii) that certain Indemnification Agreement between you and Lineage made as of May 9, 2022 (the “</w:t>
      </w:r>
      <w:r>
        <w:rPr>
          <w:rFonts w:ascii="Times New Roman" w:hAnsi="Times New Roman"/>
          <w:b/>
          <w:i/>
          <w:color w:val="000000"/>
          <w:sz w:val="24"/>
        </w:rPr>
        <w:t>Indemnification Agreement</w:t>
      </w:r>
      <w:r>
        <w:rPr>
          <w:color w:val="000000"/>
        </w:rPr>
        <w:t>”</w:t>
      </w:r>
      <w:r>
        <w:rPr>
          <w:rFonts w:ascii="Times New Roman" w:hAnsi="Times New Roman"/>
          <w:color w:val="000000"/>
          <w:sz w:val="24"/>
        </w:rPr>
        <w:t xml:space="preserve">), is terminated.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 xml:space="preserve">Accrued Salary and Paid Time Off. </w:t>
      </w:r>
      <w:r>
        <w:rPr>
          <w:rFonts w:ascii="Times New Roman" w:hAnsi="Times New Roman"/>
          <w:color w:val="000000"/>
          <w:sz w:val="24"/>
        </w:rPr>
        <w:t xml:space="preserve">Lineage will pay you all accrued base salary, and all accrued and unused paid time off earned through the Separation Date, subject to required payroll deductions and withholdings. You are entitled to these payments even if you do not sign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Expense Reimbursements.</w:t>
      </w:r>
      <w:r>
        <w:rPr>
          <w:color w:val="000000"/>
        </w:rPr>
        <w:t xml:space="preserve"> </w:t>
      </w:r>
      <w:r>
        <w:rPr>
          <w:rFonts w:ascii="Times New Roman" w:hAnsi="Times New Roman"/>
          <w:color w:val="000000"/>
          <w:sz w:val="24"/>
        </w:rPr>
        <w:t xml:space="preserve">You agree to submit, within 30 calendar days after the Separation Date, expense reports to Lineage seeking reimbursement for any business expenses incurred through the Separation Date. Lineage will reimburse you for these business expenses, pursuant to its standard policies and practices.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pPr>
      <w:r>
        <w:rPr>
          <w:rFonts w:ascii="Times New Roman" w:hAnsi="Times New Roman"/>
          <w:b/>
          <w:color w:val="000000"/>
          <w:sz w:val="24"/>
        </w:rPr>
        <w:t>Separation Benefits</w:t>
      </w:r>
      <w:r>
        <w:rPr>
          <w:rFonts w:ascii="Times New Roman" w:hAnsi="Times New Roman"/>
          <w:color w:val="000000"/>
          <w:sz w:val="24"/>
        </w:rPr>
        <w:t xml:space="preserve">. In consideration of and in return for the promises and covenants undertaken by you and Lineage herein, and the releases and other promises given by you herein, in accordance with the terms of the Employment Agreement, if you sign, date and return this Agreement to Lineage within 21 calendar days from the date you receive it, and you subsequently do not revoke your acceptance of this Agreement, and you comply with your continuing obligations owed to Lineage, including pursuant to the Employee Confidential </w:t>
      </w:r>
    </w:p>
    <w:p>
      <w:pPr>
        <w:pStyle w:val="TextBody"/>
        <w:bidi w:val="0"/>
        <w:jc w:val="left"/>
        <w:rPr>
          <w:rFonts w:ascii="Times New Roman" w:hAnsi="Times New Roman"/>
          <w:color w:val="0070C0"/>
          <w:sz w:val="19"/>
        </w:rPr>
      </w:pPr>
      <w:r>
        <w:rPr>
          <w:rFonts w:ascii="Times New Roman" w:hAnsi="Times New Roman"/>
          <w:color w:val="0070C0"/>
          <w:sz w:val="19"/>
        </w:rPr>
        <w:t>Lineage Cell Therapeutics</w:t>
      </w:r>
    </w:p>
    <w:p>
      <w:pPr>
        <w:pStyle w:val="TextBody"/>
        <w:bidi w:val="0"/>
        <w:jc w:val="left"/>
        <w:rPr>
          <w:rFonts w:ascii="Times New Roman" w:hAnsi="Times New Roman"/>
          <w:color w:val="0070C0"/>
          <w:sz w:val="10"/>
        </w:rPr>
      </w:pPr>
      <w:r>
        <w:rPr>
          <w:rFonts w:ascii="Times New Roman" w:hAnsi="Times New Roman"/>
          <w:color w:val="0070C0"/>
          <w:sz w:val="10"/>
        </w:rPr>
        <w:t>___________________________________________________________________________________________________________________________________________________________________________________________</w:t>
      </w:r>
    </w:p>
    <w:p>
      <w:pPr>
        <w:pStyle w:val="TextBody"/>
        <w:bidi w:val="0"/>
        <w:jc w:val="left"/>
        <w:rPr>
          <w:rFonts w:ascii="Times New Roman" w:hAnsi="Times New Roman"/>
          <w:sz w:val="20"/>
        </w:rPr>
      </w:pPr>
      <w:r>
        <w:rPr>
          <w:rFonts w:ascii="Times New Roman" w:hAnsi="Times New Roman"/>
          <w:color w:val="0070C0"/>
          <w:sz w:val="19"/>
        </w:rPr>
        <w:t xml:space="preserve">Corporate Headquarters: 2173 Salk Avenue, Suite 200, Carlsbad, CA 92008 </w:t>
      </w:r>
      <w:r>
        <w:rPr>
          <w:rFonts w:ascii="Times New Roman" w:hAnsi="Times New Roman"/>
          <w:color w:val="0070C0"/>
          <w:sz w:val="20"/>
        </w:rPr>
        <w:t xml:space="preserve"> </w:t>
      </w:r>
      <w:r>
        <w:rPr>
          <w:rFonts w:ascii="Times New Roman" w:hAnsi="Times New Roman"/>
          <w:color w:val="0070C0"/>
          <w:sz w:val="19"/>
        </w:rPr>
        <w:t>(442) 287-8990</w:t>
      </w:r>
    </w:p>
    <w:p>
      <w:pPr>
        <w:pStyle w:val="TextBody"/>
        <w:bidi w:val="0"/>
        <w:jc w:val="left"/>
        <w:rPr>
          <w:rFonts w:ascii="Times New Roman" w:hAnsi="Times New Roman"/>
          <w:color w:val="0070C0"/>
          <w:sz w:val="19"/>
        </w:rPr>
      </w:pPr>
      <w:r>
        <w:rPr>
          <w:rFonts w:ascii="Times New Roman" w:hAnsi="Times New Roman"/>
          <w:color w:val="0070C0"/>
          <w:sz w:val="19"/>
        </w:rPr>
        <w:t>Research Facilities: 1915 Aston Avenue, Carlsbad, CA 92008</w:t>
      </w:r>
    </w:p>
    <w:p>
      <w:pPr>
        <w:pStyle w:val="TextBody"/>
        <w:bidi w:val="0"/>
        <w:jc w:val="left"/>
        <w:rPr>
          <w:rFonts w:ascii="Times New Roman" w:hAnsi="Times New Roman"/>
          <w:color w:val="0070C0"/>
          <w:sz w:val="19"/>
        </w:rPr>
      </w:pPr>
      <w:r>
        <w:rPr>
          <w:rFonts w:ascii="Times New Roman" w:hAnsi="Times New Roman"/>
          <w:color w:val="0070C0"/>
          <w:sz w:val="19"/>
        </w:rPr>
        <w:t>www.lineagecell.com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Information and Invention Assignments Agreement between you and Lineage dated February 21, 2018 (the “</w:t>
      </w:r>
      <w:r>
        <w:rPr>
          <w:rFonts w:ascii="Times New Roman" w:hAnsi="Times New Roman"/>
          <w:b/>
          <w:i/>
          <w:color w:val="000000"/>
          <w:sz w:val="24"/>
        </w:rPr>
        <w:t>Confidentiality</w:t>
      </w:r>
      <w:r>
        <w:rPr>
          <w:color w:val="000000"/>
        </w:rPr>
        <w:t xml:space="preserve"> </w:t>
      </w:r>
      <w:r>
        <w:rPr>
          <w:rFonts w:ascii="Times New Roman" w:hAnsi="Times New Roman"/>
          <w:b/>
          <w:i/>
          <w:color w:val="000000"/>
          <w:sz w:val="24"/>
        </w:rPr>
        <w:t>Agreement</w:t>
      </w:r>
      <w:r>
        <w:rPr>
          <w:color w:val="000000"/>
        </w:rPr>
        <w:t>”</w:t>
      </w:r>
      <w:r>
        <w:rPr>
          <w:rFonts w:ascii="Times New Roman" w:hAnsi="Times New Roman"/>
          <w:color w:val="000000"/>
          <w:sz w:val="24"/>
        </w:rPr>
        <w:t>), the Employment Agreement, the Indemnification Agreement and this Agreement (collectively, the “</w:t>
      </w:r>
      <w:r>
        <w:rPr>
          <w:rFonts w:ascii="Times New Roman" w:hAnsi="Times New Roman"/>
          <w:b/>
          <w:i/>
          <w:color w:val="000000"/>
          <w:sz w:val="24"/>
        </w:rPr>
        <w:t>Obligations</w:t>
      </w:r>
      <w:r>
        <w:rPr>
          <w:color w:val="000000"/>
        </w:rPr>
        <w:t>”</w:t>
      </w:r>
      <w:r>
        <w:rPr>
          <w:rFonts w:ascii="Times New Roman" w:hAnsi="Times New Roman"/>
          <w:color w:val="000000"/>
          <w:sz w:val="24"/>
        </w:rPr>
        <w:t>), Lineage agrees to (collectively, the “</w:t>
      </w:r>
      <w:r>
        <w:rPr>
          <w:rFonts w:ascii="Times New Roman" w:hAnsi="Times New Roman"/>
          <w:b/>
          <w:i/>
          <w:color w:val="000000"/>
          <w:sz w:val="24"/>
        </w:rPr>
        <w:t>Separation Benefits</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 you in regularly scheduled payments in accordance with our standard payroll practices an aggregate amount of $412,485.00, which is equal to 9 months of your base salary as in effect immediately prior to the Separation Date plus a prorated target bonus for 2023;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make a payment each month during the COBRA Premium Period (as defined below) of 100% of the premium of any health insurance benefits you were receiving as of the Separation Date under a Lineage employee health insurance plan subject to the Consolidated Omnibus Budget Reconciliation Act (“</w:t>
      </w:r>
      <w:r>
        <w:rPr>
          <w:rFonts w:ascii="Times New Roman" w:hAnsi="Times New Roman"/>
          <w:b/>
          <w:i/>
          <w:color w:val="000000"/>
          <w:sz w:val="24"/>
        </w:rPr>
        <w:t>COBRA</w:t>
      </w:r>
      <w:r>
        <w:rPr>
          <w:color w:val="000000"/>
        </w:rPr>
        <w:t>”</w:t>
      </w:r>
      <w:r>
        <w:rPr>
          <w:rFonts w:ascii="Times New Roman" w:hAnsi="Times New Roman"/>
          <w:color w:val="000000"/>
          <w:sz w:val="24"/>
        </w:rPr>
        <w:t>); provided that you timely elect to have such COBRA coverage; provided, further, that, in the event you become covered under another employer’s group health plan during the COBRA Premium Period, you must immediately notify Lineage of such event. “</w:t>
      </w:r>
      <w:r>
        <w:rPr>
          <w:rFonts w:ascii="Times New Roman" w:hAnsi="Times New Roman"/>
          <w:b/>
          <w:i/>
          <w:color w:val="000000"/>
          <w:sz w:val="24"/>
        </w:rPr>
        <w:t>COBRA Premium Period</w:t>
      </w:r>
      <w:r>
        <w:rPr>
          <w:color w:val="000000"/>
        </w:rPr>
        <w:t xml:space="preserve">” </w:t>
      </w:r>
      <w:r>
        <w:rPr>
          <w:rFonts w:ascii="Times New Roman" w:hAnsi="Times New Roman"/>
          <w:color w:val="000000"/>
          <w:sz w:val="24"/>
        </w:rPr>
        <w:t>means the period starting on the Separation Date and ending on the earliest to occur of: (i) 9 months following the Separation Date or (ii) the date you become eligible for group health insurance coverage through a new employer.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Lineage shall not be obligated to make any of the payments described above until the expiration of any applicable revocation period with respect to this Agreement. All compensation payable to you hereunder is subject to applicable taxes, deductions and withholdings.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pPr>
      <w:r>
        <w:rPr>
          <w:rFonts w:ascii="Times New Roman" w:hAnsi="Times New Roman"/>
          <w:b/>
          <w:color w:val="000000"/>
          <w:sz w:val="24"/>
        </w:rPr>
        <w:t xml:space="preserve">Consulting Agreement. </w:t>
      </w:r>
      <w:r>
        <w:rPr>
          <w:rFonts w:ascii="Times New Roman" w:hAnsi="Times New Roman"/>
          <w:color w:val="000000"/>
          <w:sz w:val="24"/>
        </w:rPr>
        <w:t>Although not otherwise obligated to do so, if you sign, date and return this Agreement to Lineage, and you continue to comply with your Obligations, Lineage shall retain you, and you shall provide consulting services as a consultant for Lineage, under the following terms (the “</w:t>
      </w:r>
      <w:r>
        <w:rPr>
          <w:rFonts w:ascii="Times New Roman" w:hAnsi="Times New Roman"/>
          <w:b/>
          <w:i/>
          <w:color w:val="000000"/>
          <w:sz w:val="24"/>
        </w:rPr>
        <w:t>Consulting Relationship</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Consulting Period.</w:t>
      </w:r>
      <w:r>
        <w:rPr>
          <w:color w:val="000000"/>
        </w:rPr>
        <w:t xml:space="preserve"> </w:t>
      </w:r>
      <w:r>
        <w:rPr>
          <w:rFonts w:ascii="Times New Roman" w:hAnsi="Times New Roman"/>
          <w:color w:val="000000"/>
          <w:sz w:val="24"/>
        </w:rPr>
        <w:t>The Consulting Relationship will commence on December 4, 2023 and will continue until March 31, 2024, unless terminated earlier pursuant to Section 3(h) below (the “</w:t>
      </w:r>
      <w:r>
        <w:rPr>
          <w:rFonts w:ascii="Times New Roman" w:hAnsi="Times New Roman"/>
          <w:b/>
          <w:i/>
          <w:color w:val="000000"/>
          <w:sz w:val="24"/>
        </w:rPr>
        <w:t>Consulting Period</w:t>
      </w:r>
      <w:r>
        <w:rPr>
          <w:color w:val="000000"/>
        </w:rPr>
        <w:t>”</w:t>
      </w:r>
      <w:r>
        <w:rPr>
          <w:rFonts w:ascii="Times New Roman" w:hAnsi="Times New Roman"/>
          <w:color w:val="000000"/>
          <w:sz w:val="24"/>
        </w:rPr>
        <w:t>). The Consulting Period can be extended only in writing signed by you and the Chief Executive Officer of Lineage.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 xml:space="preserve">Consulting Services. </w:t>
      </w:r>
      <w:r>
        <w:rPr>
          <w:rFonts w:ascii="Times New Roman" w:hAnsi="Times New Roman"/>
          <w:color w:val="000000"/>
          <w:sz w:val="24"/>
        </w:rPr>
        <w:t>You agree to provide consulting services to Lineage by: (i) assisting Lineage on clinical matters; (ii) transitioning outstanding projects, tasks and relationships to other Lineage personnel or third parties; and (iii) performing such other services as you and Lineage may agree from time to time (collectively, the “</w:t>
      </w:r>
      <w:r>
        <w:rPr>
          <w:rFonts w:ascii="Times New Roman" w:hAnsi="Times New Roman"/>
          <w:b/>
          <w:i/>
          <w:color w:val="000000"/>
          <w:sz w:val="24"/>
        </w:rPr>
        <w:t>Consulting Services</w:t>
      </w:r>
      <w:r>
        <w:rPr>
          <w:color w:val="000000"/>
        </w:rPr>
        <w:t>”</w:t>
      </w:r>
      <w:r>
        <w:rPr>
          <w:rFonts w:ascii="Times New Roman" w:hAnsi="Times New Roman"/>
          <w:color w:val="000000"/>
          <w:sz w:val="24"/>
        </w:rPr>
        <w:t>). You will not be required to report to Lineage’s offices during the Consulting Period. During the Consulting Period, you agree to provide Consulting Services as reasonably requested by Lineage from time to time.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Independent Contractor Relationship.</w:t>
      </w:r>
      <w:r>
        <w:rPr>
          <w:color w:val="000000"/>
        </w:rPr>
        <w:t xml:space="preserve"> </w:t>
      </w:r>
      <w:r>
        <w:rPr>
          <w:rFonts w:ascii="Times New Roman" w:hAnsi="Times New Roman"/>
          <w:color w:val="000000"/>
          <w:sz w:val="24"/>
        </w:rPr>
        <w:t xml:space="preserve">Your relationship with Lineage during the Consulting Period will be that of an independent contractor, and nothing in this Agreement is intended to, or should be construed to, create a partnership, agency, joint venture or employment relationship after the Separation Date. Other than your Separation Benefits, from and after the Separation Date you will not be entitled to any of the benefits that Lineage may make available to its employees, including group health or life insurance, profit-sharing or retirement benefits, and you acknowledge and agree that your relationship with Lineage during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Consulting Period will not be subject to the Fair Labor Standards Act, the California Labor Code or other laws or regulations governing employment relationships.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 xml:space="preserve">Equity Vesting. </w:t>
      </w:r>
      <w:r>
        <w:rPr>
          <w:rFonts w:ascii="Times New Roman" w:hAnsi="Times New Roman"/>
          <w:color w:val="000000"/>
          <w:sz w:val="24"/>
        </w:rPr>
        <w:t>The termination of your employment with Lineage is effective as of the Separation Date and your engagement as a consultant shall commence at the start of the Consulting Period. As such, it is understood and agreed that your Consulting Services during the Consulting Period, do not constitute “Continuous Service” as defined in, and for purposes of, the Lineage Cell Therapeutics, Inc. 2012 Equity Incentive Plan nor the Lineage Cell Therapeutics, Inc. 2021 Equity Incentive Plan (collectively, the “</w:t>
      </w:r>
      <w:r>
        <w:rPr>
          <w:rFonts w:ascii="Times New Roman" w:hAnsi="Times New Roman"/>
          <w:b/>
          <w:i/>
          <w:color w:val="000000"/>
          <w:sz w:val="24"/>
        </w:rPr>
        <w:t>Equity Plan</w:t>
      </w:r>
      <w:r>
        <w:rPr>
          <w:color w:val="000000"/>
        </w:rPr>
        <w:t>”</w:t>
      </w:r>
      <w:r>
        <w:rPr>
          <w:rFonts w:ascii="Times New Roman" w:hAnsi="Times New Roman"/>
          <w:color w:val="000000"/>
          <w:sz w:val="24"/>
        </w:rPr>
        <w:t>), and therefore your outstanding equity awards will cease to vest in accordance with their terms as of the Separation Date. Your rights to exercise or otherwise acquire any vested shares shall be governed and controlled by the Equity Plan and your applicable grant documents (the “</w:t>
      </w:r>
      <w:r>
        <w:rPr>
          <w:rFonts w:ascii="Times New Roman" w:hAnsi="Times New Roman"/>
          <w:b/>
          <w:i/>
          <w:color w:val="000000"/>
          <w:sz w:val="24"/>
        </w:rPr>
        <w:t>Equity Documents</w:t>
      </w:r>
      <w:r>
        <w:rPr>
          <w:color w:val="000000"/>
        </w:rPr>
        <w:t>”</w:t>
      </w:r>
      <w:r>
        <w:rPr>
          <w:rFonts w:ascii="Times New Roman" w:hAnsi="Times New Roman"/>
          <w:color w:val="000000"/>
          <w:sz w:val="24"/>
        </w:rPr>
        <w:t xml:space="preserve">). All terms applicable to your equity awards will continue to be subject to the applicable Equity Documents.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rFonts w:ascii="Times New Roman" w:hAnsi="Times New Roman"/>
          <w:b/>
          <w:color w:val="000000"/>
          <w:sz w:val="24"/>
        </w:rPr>
        <w:t>Consideration for Consulting Services</w:t>
      </w:r>
      <w:r>
        <w:rPr>
          <w:rFonts w:ascii="Times New Roman" w:hAnsi="Times New Roman"/>
          <w:color w:val="000000"/>
          <w:sz w:val="24"/>
        </w:rPr>
        <w:t>. Lineage agrees to pay you at a rate of $500 per hour for the Consulting Services, payable monthly within 30 days following receipt by Lineage of an undisputed invoice for Consulting Services performed during the prior month. Unless otherwise agreed upon in writing by Lineage, Lineage’s maximum liability for all Consulting Services performed during the term of your Consulting Services shall not exceed $30,000. You agree to provide detailed invoices describing the Consulting Services you performed and the amount of time spent on each activity for Consulting Services.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pPr>
      <w:r>
        <w:rPr>
          <w:rFonts w:ascii="Times New Roman" w:hAnsi="Times New Roman"/>
          <w:b/>
          <w:color w:val="000000"/>
          <w:sz w:val="24"/>
        </w:rPr>
        <w:t>Limitations on Authority.</w:t>
      </w:r>
      <w:r>
        <w:rPr>
          <w:color w:val="000000"/>
        </w:rPr>
        <w:t xml:space="preserve"> </w:t>
      </w:r>
      <w:r>
        <w:rPr>
          <w:rFonts w:ascii="Times New Roman" w:hAnsi="Times New Roman"/>
          <w:color w:val="000000"/>
          <w:sz w:val="24"/>
        </w:rPr>
        <w:t>You will have no responsibilities or authority as a consultant to Lineage other than as provided in this Section 3 of this Agreement. You will have no authority, apparent or otherwise, to bind Lineage to any contractual obligations, whether written, oral or implied, except with the written authorization of Lineage’s Chief Executive Officer. You agree not to represent or purport to represent Lineage in any manner whatsoever to any third party (including customers, potential customers, investors, business partners or vendors), unless authorized by Lineage’s Chief Executive Officer, in writing, to do so.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w:t>
      </w:r>
    </w:p>
    <w:p>
      <w:pPr>
        <w:pStyle w:val="TextBody"/>
        <w:bidi w:val="0"/>
        <w:spacing w:before="0" w:after="240"/>
        <w:jc w:val="both"/>
        <w:rPr/>
      </w:pPr>
      <w:r>
        <w:rPr>
          <w:rFonts w:ascii="Times New Roman" w:hAnsi="Times New Roman"/>
          <w:b/>
          <w:color w:val="000000"/>
          <w:sz w:val="24"/>
        </w:rPr>
        <w:t xml:space="preserve">Confidential Information and Inventions. </w:t>
      </w:r>
      <w:r>
        <w:rPr>
          <w:rFonts w:ascii="Times New Roman" w:hAnsi="Times New Roman"/>
          <w:color w:val="000000"/>
          <w:sz w:val="24"/>
        </w:rPr>
        <w:t>You acknowledge and reaffirm that you will continue to be subject to the obligations in the Confidentiality Agreement and Sections 3, 4 and 6 of the Employment Agreement. You agree that, during the Consulting Period and thereafter, you will not use or disclose, other than in furtherance of the Consulting Services, any confidential or proprietary information or materials of Lineage, including any confidential or proprietary information that you obtain or develop in the course of performing the Consulting Services. Any and all work product you create in the course and scope of performing the Consulting Services will be the sole and exclusive property of Lineage. You hereby assign to Lineage all right, title, and interest in all inventions, techniques, processes, materials, and other intellectual property developed in the course and scope of performing the Consulting Services. You further acknowledge and reaffirm you continue to be subject to the obligations of the Confidentiality Agreement. Notwithstanding the foregoing nondisclosure obligations, pursuant to 18 U.S.C. Section 1833(b), you will not be held criminally or civilly liable under any federal or state trade secret law for the disclosure of a trade secret that is made: (i) in confidence to a federal, state, or local government official, either directly or indirectly, or to an attorney, and solely for the purpose of reporting or investigating a suspected violation of law; or (ii) in a complaint or other document filed in a lawsuit or other proceeding, if such filing is made under seal.</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(h)</w:t>
      </w:r>
    </w:p>
    <w:p>
      <w:pPr>
        <w:pStyle w:val="TextBody"/>
        <w:bidi w:val="0"/>
        <w:spacing w:before="0" w:after="240"/>
        <w:jc w:val="both"/>
        <w:rPr/>
      </w:pPr>
      <w:r>
        <w:rPr>
          <w:rFonts w:ascii="Times New Roman" w:hAnsi="Times New Roman"/>
          <w:b/>
          <w:color w:val="000000"/>
          <w:sz w:val="24"/>
        </w:rPr>
        <w:t>New Employment.</w:t>
      </w:r>
      <w:r>
        <w:rPr>
          <w:color w:val="000000"/>
        </w:rPr>
        <w:t xml:space="preserve"> </w:t>
      </w:r>
      <w:r>
        <w:rPr>
          <w:rFonts w:ascii="Times New Roman" w:hAnsi="Times New Roman"/>
          <w:color w:val="000000"/>
          <w:sz w:val="24"/>
        </w:rPr>
        <w:t>You acknowledge and agree that during the Consulting Period, you will promptly notify Lineage in writing if you (i) provide any services to any organization that reasonably could be a competitor of Lineage or (ii) become employed on a full-time basis with any organization.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b/>
          <w:color w:val="000000"/>
          <w:sz w:val="24"/>
        </w:rPr>
        <w:t>Early Termination of Consulting Period</w:t>
      </w:r>
      <w:r>
        <w:rPr>
          <w:rFonts w:ascii="Times New Roman" w:hAnsi="Times New Roman"/>
          <w:color w:val="000000"/>
          <w:sz w:val="24"/>
        </w:rPr>
        <w:t>. Either you or Lineage has the right to immediately terminate the Consulting Period at any time and for any reason upon written notice to the other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(j)</w:t>
      </w:r>
    </w:p>
    <w:p>
      <w:pPr>
        <w:pStyle w:val="TextBody"/>
        <w:bidi w:val="0"/>
        <w:spacing w:before="0" w:after="240"/>
        <w:jc w:val="both"/>
        <w:rPr/>
      </w:pPr>
      <w:r>
        <w:rPr>
          <w:rFonts w:ascii="Times New Roman" w:hAnsi="Times New Roman"/>
          <w:b/>
          <w:color w:val="000000"/>
          <w:sz w:val="24"/>
        </w:rPr>
        <w:t>Debarment</w:t>
      </w:r>
      <w:r>
        <w:rPr>
          <w:rFonts w:ascii="Times New Roman" w:hAnsi="Times New Roman"/>
          <w:color w:val="000000"/>
          <w:sz w:val="24"/>
        </w:rPr>
        <w:t>. You represent that you have never been debarred or convicted, or threatened to be debarred or indicted, for a crime for which a person can be debarred, under §335a (a) or (b) of the Generic Drug Enforcement Act of 1992 or ineligible to receive investigational drugs under 21 CFR, Section 312.70. You agree that you will promptly notify Lineage in the event of any such debarment, ineligibility, conviction, threat, or indictment. The terms of the preceding sentence shall survive the termination or expiration of this Agreement for a period of 3 years. Notwithstanding the provisions of this Section (j), you acknowledge that Lineage shall have the right to terminate this Agreement immediately upon receipt of information regarding the debarment, ineligibility, conviction, threat, or indictment.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(k)</w:t>
      </w:r>
    </w:p>
    <w:p>
      <w:pPr>
        <w:pStyle w:val="TextBody"/>
        <w:bidi w:val="0"/>
        <w:spacing w:before="0" w:after="240"/>
        <w:jc w:val="both"/>
        <w:rPr/>
      </w:pPr>
      <w:r>
        <w:rPr>
          <w:rFonts w:ascii="Times New Roman" w:hAnsi="Times New Roman"/>
          <w:b/>
          <w:color w:val="000000"/>
          <w:sz w:val="24"/>
        </w:rPr>
        <w:t>Restrictions on Purchases and Sales of Securities</w:t>
      </w:r>
      <w:r>
        <w:rPr>
          <w:rFonts w:ascii="Times New Roman" w:hAnsi="Times New Roman"/>
          <w:color w:val="000000"/>
          <w:sz w:val="24"/>
        </w:rPr>
        <w:t>. You are aware that Lineage may provide material non-public information to you. You shall comply with U.S. securities laws regarding the purchase or sale of securities by any person who has received material, non-public information.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pPr>
      <w:r>
        <w:rPr>
          <w:rFonts w:ascii="Times New Roman" w:hAnsi="Times New Roman"/>
          <w:b/>
          <w:color w:val="000000"/>
          <w:sz w:val="24"/>
        </w:rPr>
        <w:t>Other Compensation or Benefits.</w:t>
      </w:r>
      <w:r>
        <w:rPr>
          <w:color w:val="000000"/>
        </w:rPr>
        <w:t xml:space="preserve"> </w:t>
      </w:r>
      <w:r>
        <w:rPr>
          <w:rFonts w:ascii="Times New Roman" w:hAnsi="Times New Roman"/>
          <w:color w:val="000000"/>
          <w:sz w:val="24"/>
        </w:rPr>
        <w:t>You acknowledge that, except as expressly provided in this Agreement, you have not earned and will not receive from Lineage any additional compensation, bonuses, incentive compensation, severance, or benefits before or after the Separation Date, with the exception of any vested right you may have under the express terms of a written ERISA-qualified benefit plan (</w:t>
      </w:r>
      <w:r>
        <w:rPr>
          <w:rFonts w:ascii="Times New Roman" w:hAnsi="Times New Roman"/>
          <w:i/>
          <w:color w:val="000000"/>
          <w:sz w:val="24"/>
        </w:rPr>
        <w:t>e.g.</w:t>
      </w:r>
      <w:r>
        <w:rPr>
          <w:rFonts w:ascii="Times New Roman" w:hAnsi="Times New Roman"/>
          <w:color w:val="000000"/>
          <w:sz w:val="24"/>
        </w:rPr>
        <w:t>, 401(k) account).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pPr>
      <w:r>
        <w:rPr>
          <w:rFonts w:ascii="Times New Roman" w:hAnsi="Times New Roman"/>
          <w:b/>
          <w:color w:val="000000"/>
          <w:sz w:val="24"/>
        </w:rPr>
        <w:t>Return of Lineage Property.</w:t>
      </w:r>
      <w:r>
        <w:rPr>
          <w:color w:val="000000"/>
        </w:rPr>
        <w:t xml:space="preserve"> </w:t>
      </w:r>
      <w:r>
        <w:rPr>
          <w:rFonts w:ascii="Times New Roman" w:hAnsi="Times New Roman"/>
          <w:color w:val="000000"/>
          <w:sz w:val="24"/>
        </w:rPr>
        <w:t>You certify that on the Separation Date you returned to Lineage all Lineage documents (and all copies thereof) and other Lineage property and equipment that you had in your possession or control (except as otherwise agreed by the Chief Executive Officer of Lineage in writing), including any materials of any kind that contain or embody any proprietary or confidential information or trade secret information of Lineage (and all reproductions thereof in whole or in part). You agree that you made a diligent search to locate any such documents, property and information and delivered all such documents, property and information on the Separation Date. In addition, if you have used any personally owned computer, server, e-mail system, mobile phone, or portable electronic device (</w:t>
      </w:r>
      <w:r>
        <w:rPr>
          <w:rFonts w:ascii="Times New Roman" w:hAnsi="Times New Roman"/>
          <w:i/>
          <w:color w:val="000000"/>
          <w:sz w:val="24"/>
        </w:rPr>
        <w:t>e.g.</w:t>
      </w:r>
      <w:r>
        <w:rPr>
          <w:rFonts w:ascii="Times New Roman" w:hAnsi="Times New Roman"/>
          <w:color w:val="000000"/>
          <w:sz w:val="24"/>
        </w:rPr>
        <w:t>, iPhone, Android device, or iPad) (collectively, “</w:t>
      </w:r>
      <w:r>
        <w:rPr>
          <w:rFonts w:ascii="Times New Roman" w:hAnsi="Times New Roman"/>
          <w:b/>
          <w:i/>
          <w:color w:val="000000"/>
          <w:sz w:val="24"/>
        </w:rPr>
        <w:t>Personal Systems</w:t>
      </w:r>
      <w:r>
        <w:rPr>
          <w:color w:val="000000"/>
        </w:rPr>
        <w:t>”</w:t>
      </w:r>
      <w:r>
        <w:rPr>
          <w:rFonts w:ascii="Times New Roman" w:hAnsi="Times New Roman"/>
          <w:color w:val="000000"/>
          <w:sz w:val="24"/>
        </w:rPr>
        <w:t xml:space="preserve">) to receive, store, prepare or transmit any Lineage confidential or proprietary data, materials or information, you have provided Lineage with a computer-useable copy of all such information and then permanently delete and expunged all such Lineage confidential or proprietary information from such Personal Systems without retaining any copy or reproduction in any form. Notwithstanding the foregoing, Lineage will provide you with access to Lineage property, as necessary, to the extent needed for you to perform your Consulting Services; </w:t>
      </w:r>
      <w:r>
        <w:rPr>
          <w:rFonts w:ascii="Times New Roman" w:hAnsi="Times New Roman"/>
          <w:i/>
          <w:color w:val="000000"/>
          <w:sz w:val="24"/>
        </w:rPr>
        <w:t xml:space="preserve">provided that </w:t>
      </w:r>
      <w:r>
        <w:rPr>
          <w:rFonts w:ascii="Times New Roman" w:hAnsi="Times New Roman"/>
          <w:color w:val="000000"/>
          <w:sz w:val="24"/>
        </w:rPr>
        <w:t>you must return such Lineage property in the manner set forth in this Section 5 of the Agreement upon request and not later than the last day of the Consulting Period.</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pPr>
      <w:r>
        <w:rPr>
          <w:rFonts w:ascii="Times New Roman" w:hAnsi="Times New Roman"/>
          <w:b/>
          <w:color w:val="000000"/>
          <w:sz w:val="24"/>
        </w:rPr>
        <w:t xml:space="preserve">Nondisparagement. </w:t>
      </w:r>
      <w:r>
        <w:rPr>
          <w:rFonts w:ascii="Times New Roman" w:hAnsi="Times New Roman"/>
          <w:color w:val="000000"/>
          <w:sz w:val="24"/>
        </w:rPr>
        <w:t>You agree not to disparage Lineage (including its subsidiaries), its officers, directors, employees, shareholders, and agents, in any manner likely to be harmful to its or their business, business reputation, or personal reputation. Nothing in this Agreement will be interpreted or construed to prevent you from giving truthful testimony to any law enforcement officer, court, administrative proceeding or as part of an investigation by any Government Agency (as defined in Section 9(c)). In addition, nothing in this Agreement is intended to prohibit or restrain you in any manner from making disclosures that are protected under federal law or regulation or under other applicable law or regulation.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pPr>
      <w:r>
        <w:rPr>
          <w:rFonts w:ascii="Times New Roman" w:hAnsi="Times New Roman"/>
          <w:b/>
          <w:color w:val="000000"/>
          <w:sz w:val="24"/>
        </w:rPr>
        <w:t>Cooperation and Assistance.</w:t>
      </w:r>
      <w:r>
        <w:rPr>
          <w:color w:val="000000"/>
        </w:rPr>
        <w:t xml:space="preserve"> </w:t>
      </w:r>
      <w:r>
        <w:rPr>
          <w:rFonts w:ascii="Times New Roman" w:hAnsi="Times New Roman"/>
          <w:color w:val="000000"/>
          <w:sz w:val="24"/>
        </w:rPr>
        <w:t xml:space="preserve">You agree to voluntarily cooperate with Lineage, if you have knowledge of facts relevant to any threatened or pending claim, investigation, audit or litigation against or by or involving Lineage, by making yourself reasonably available for interviews with Lineage or its legal counsel, for preparing for and providing deposition testimony, and for preparing for and providing trial testimony. Lineage will reimburse you for reasonable out-of-pocket expenses you incur in connection with any such cooperation (excluding forgone wages, salary, or other compensation).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pPr>
      <w:r>
        <w:rPr>
          <w:rFonts w:ascii="Times New Roman" w:hAnsi="Times New Roman"/>
          <w:b/>
          <w:color w:val="000000"/>
          <w:sz w:val="24"/>
        </w:rPr>
        <w:t xml:space="preserve">No Admissions. </w:t>
      </w:r>
      <w:r>
        <w:rPr>
          <w:rFonts w:ascii="Times New Roman" w:hAnsi="Times New Roman"/>
          <w:color w:val="000000"/>
          <w:sz w:val="24"/>
        </w:rPr>
        <w:t>You understand and agree that the promises and payments in consideration of this Agreement shall not be construed to be an admission of any liability or obligation by Lineage to you or to any other person, and that Lineage makes no such admission.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pPr>
      <w:r>
        <w:rPr>
          <w:rFonts w:ascii="Times New Roman" w:hAnsi="Times New Roman"/>
          <w:b/>
          <w:color w:val="000000"/>
          <w:sz w:val="24"/>
        </w:rPr>
        <w:t>Release of Claims</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General Release</w:t>
      </w:r>
      <w:r>
        <w:rPr>
          <w:rFonts w:ascii="Times New Roman" w:hAnsi="Times New Roman"/>
          <w:color w:val="000000"/>
          <w:sz w:val="24"/>
        </w:rPr>
        <w:t>. In exchange for the Separation Benefits, and other consideration under this Agreement to which you would not otherwise be entitled, including the Consulting Relationship, you hereby generally and completely release Lineage and its directors, officers, employees, shareholders, partners, agents, attorneys, predecessors, successors, parent and subsidiary entities, insurers, affiliates, and assigns (collectively, the “</w:t>
      </w:r>
      <w:r>
        <w:rPr>
          <w:rFonts w:ascii="Times New Roman" w:hAnsi="Times New Roman"/>
          <w:b/>
          <w:i/>
          <w:color w:val="000000"/>
          <w:sz w:val="24"/>
        </w:rPr>
        <w:t>Released Parties</w:t>
      </w:r>
      <w:r>
        <w:rPr>
          <w:color w:val="000000"/>
        </w:rPr>
        <w:t>”</w:t>
      </w:r>
      <w:r>
        <w:rPr>
          <w:rFonts w:ascii="Times New Roman" w:hAnsi="Times New Roman"/>
          <w:color w:val="000000"/>
          <w:sz w:val="24"/>
        </w:rPr>
        <w:t>) of and from any and all claims, liabilities and obligations, both known and unknown, that arise out of or are in any way related to events, acts, conduct, or omissions occurring prior to or on the date that you sign this Agreement (collectively, the “</w:t>
      </w:r>
      <w:r>
        <w:rPr>
          <w:rFonts w:ascii="Times New Roman" w:hAnsi="Times New Roman"/>
          <w:b/>
          <w:i/>
          <w:color w:val="000000"/>
          <w:sz w:val="24"/>
        </w:rPr>
        <w:t>Released Claims</w:t>
      </w:r>
      <w:r>
        <w:rPr>
          <w:color w:val="000000"/>
        </w:rPr>
        <w:t>”</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Scope of Release.</w:t>
      </w:r>
      <w:r>
        <w:rPr>
          <w:color w:val="000000"/>
        </w:rPr>
        <w:t xml:space="preserve"> </w:t>
      </w:r>
      <w:r>
        <w:rPr>
          <w:rFonts w:ascii="Times New Roman" w:hAnsi="Times New Roman"/>
          <w:color w:val="000000"/>
          <w:sz w:val="24"/>
        </w:rPr>
        <w:t>The Released Claims include: (i) all claims arising out of or in any way related to your employment with Lineage, or the termination of that employment; (ii) except for your eligibility for the Separation Benefits pursuant to the terms of Section 2 above and the Consulting Relationship pursuant to the terms of Section 3 above, all claims related to your compensation or benefits from Lineage, including salary, bonuses, commissions, incentive compensation, vacation pay, expense reimbursements, severance benefits, fringe benefits, stock, stock options, or any other ownership interests in Lineage; (iii) all claims for breach of contract, wrongful termination, and breach of the implied covenant of good faith and fair dealing related to your employment with Lineage; (iv) all tort claims, including claims for fraud, defamation, emotional distress, and discharge in violation of public policy; and (v) all constitutional, federal, state, and local statutory and common law claims, including claims for discrimination, harassment, retaliation, attorneys’ fees, or other claims arising under the federal Civil Rights Act of 1964 (as amended), the federal Americans with Disabilities Act of 1990 (as amended), the federal Age Discrimination in Employment Act of 1967 (as amended) (the “</w:t>
      </w:r>
      <w:r>
        <w:rPr>
          <w:rFonts w:ascii="Times New Roman" w:hAnsi="Times New Roman"/>
          <w:b/>
          <w:i/>
          <w:color w:val="000000"/>
          <w:sz w:val="24"/>
        </w:rPr>
        <w:t>ADEA</w:t>
      </w:r>
      <w:r>
        <w:rPr>
          <w:color w:val="000000"/>
        </w:rPr>
        <w:t>”</w:t>
      </w:r>
      <w:r>
        <w:rPr>
          <w:rFonts w:ascii="Times New Roman" w:hAnsi="Times New Roman"/>
          <w:color w:val="000000"/>
          <w:sz w:val="24"/>
        </w:rPr>
        <w:t xml:space="preserve">), the federal Family and Medical Leave Act, the California Labor Code (as amended), and the California Fair Employment and Housing Act (as amended).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 xml:space="preserve">Excluded Claims. </w:t>
      </w:r>
      <w:r>
        <w:rPr>
          <w:rFonts w:ascii="Times New Roman" w:hAnsi="Times New Roman"/>
          <w:color w:val="000000"/>
          <w:sz w:val="24"/>
        </w:rPr>
        <w:t>Notwithstanding the foregoing, the following are not included in the Released Claims (the “</w:t>
      </w:r>
      <w:r>
        <w:rPr>
          <w:rFonts w:ascii="Times New Roman" w:hAnsi="Times New Roman"/>
          <w:b/>
          <w:i/>
          <w:color w:val="000000"/>
          <w:sz w:val="24"/>
        </w:rPr>
        <w:t>Excluded Claims</w:t>
      </w:r>
      <w:r>
        <w:rPr>
          <w:color w:val="000000"/>
        </w:rPr>
        <w:t>”</w:t>
      </w:r>
      <w:r>
        <w:rPr>
          <w:rFonts w:ascii="Times New Roman" w:hAnsi="Times New Roman"/>
          <w:color w:val="000000"/>
          <w:sz w:val="24"/>
        </w:rPr>
        <w:t>): (1) any right to indemnification and/or contribution, advancement or payment of related expenses you may have pursuant to Lineage’s Bylaws or Restated Articles of Incorporation, as amended, or under any written indemnification or other agreement between Lineage and you, and/or under applicable law; (2) any rights you may have to insurance coverage under any directors and officers liability insurance, other insurance policies of Lineage, COBRA or any similar state law; (3) any claims for worker’s compensation, state disability or unemployment insurance benefits, or any other claims that cannot be released as a matter of applicable law; (4) rights to any vested benefits under any stock, compensation or other employee benefit plan of Lineage; (5) any rights you may have as an existing shareholder of Lineage; and (6) any claims arising after the effective date of this Agreement. In addition, nothing in this Agreement prevents you from filing a charge or complaint with the Equal Employment Opportunity Commission or any similar state or local fair employment law agency, the Department of Labor, the National Labor Relations Board, the Occupational Safety and Health Administration, the Securities and Exchange Commission or any other federal, state or local governmental agency or commission (collectively, the “</w:t>
      </w:r>
      <w:r>
        <w:rPr>
          <w:rFonts w:ascii="Times New Roman" w:hAnsi="Times New Roman"/>
          <w:b/>
          <w:i/>
          <w:color w:val="000000"/>
          <w:sz w:val="24"/>
        </w:rPr>
        <w:t>Government Agencies</w:t>
      </w:r>
      <w:r>
        <w:rPr>
          <w:color w:val="000000"/>
        </w:rPr>
        <w:t>”</w:t>
      </w:r>
      <w:r>
        <w:rPr>
          <w:rFonts w:ascii="Times New Roman" w:hAnsi="Times New Roman"/>
          <w:color w:val="000000"/>
          <w:sz w:val="24"/>
        </w:rPr>
        <w:t>). This Agreement does not limit your ability to communicate with any Government Agencies or otherwise participate in any investigation or proceeding that may be conducted by any Government Agencies. While this Agreement does not limit your right to receive an award for information provided to the Securities and Exchange Commission, you understand and agree that, to maximum extent permitted by law, you are otherwise waiving any and all rights you may have to individual relief based on any claims that you have released and any rights you have waived by signing this Agreement. You represent and warrant that, other than the Excluded Claims or as set forth on Exhibit A, you are not aware of any claims you have or might have against any of the Released Parties that are not included in the Released Claims.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pPr>
      <w:r>
        <w:rPr>
          <w:rFonts w:ascii="Times New Roman" w:hAnsi="Times New Roman"/>
          <w:b/>
          <w:color w:val="000000"/>
          <w:sz w:val="24"/>
        </w:rPr>
        <w:t>ADEA Waiver</w:t>
      </w:r>
      <w:r>
        <w:rPr>
          <w:rFonts w:ascii="Times New Roman" w:hAnsi="Times New Roman"/>
          <w:color w:val="000000"/>
          <w:sz w:val="24"/>
        </w:rPr>
        <w:t xml:space="preserve">. You hereby acknowledge that you are knowingly and voluntarily waiving and releasing any rights you may have under the ADEA, and that the consideration given for the waiver and release you have given in this Agreement is in addition to anything of value to which you were already entitled. You further acknowledge that you have been advised by this writing, as required by the ADEA, that: (a) your waiver and release does not apply to any rights or claims that may arise after the date you sign this Agreement; (b) you should consult with an attorney prior to signing this Agreement; (c) you have 21 calendar days to consider this Agreement (although you may choose voluntarily to sign this Agreement sooner); (d) you have 7 calendar days following the date you sign this Agreement to revoke your acceptance of this Agreement (in a written revocation sent to and received by George A. Samuel III, Lineage’s General Counsel and Corporate Secretary); and (e) this Agreement (other than the provisions of Section 3 hereof) will not be effective until the date upon which the revocation period has expired, which will be the eighth calendar day after the date that this Agreement is signed by you provided that you do not revoke it; </w:t>
      </w:r>
      <w:r>
        <w:rPr>
          <w:rFonts w:ascii="Times New Roman" w:hAnsi="Times New Roman"/>
          <w:i/>
          <w:color w:val="000000"/>
          <w:sz w:val="24"/>
        </w:rPr>
        <w:t>provided that</w:t>
      </w:r>
      <w:r>
        <w:rPr>
          <w:rFonts w:ascii="Times New Roman" w:hAnsi="Times New Roman"/>
          <w:color w:val="000000"/>
          <w:sz w:val="24"/>
        </w:rPr>
        <w:t xml:space="preserve">, the provisions of Section 3 of this Agreement shall be effective as of December 4, 2023.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color w:val="000000"/>
          <w:sz w:val="24"/>
        </w:rPr>
        <w:t>Waiver of Unknown Claims. YOU UNDERSTAND THAT THIS AGREEMENT INCLUDES A RELEASE OF ALL KNOWN AND UNKNOWN CLAIMS RELATED TO YOUR EMPLOYMENT BY LINEAGE.</w:t>
      </w:r>
      <w:r>
        <w:rPr>
          <w:color w:val="000000"/>
        </w:rPr>
        <w:t xml:space="preserve"> </w:t>
      </w:r>
      <w:r>
        <w:rPr>
          <w:rFonts w:ascii="Times New Roman" w:hAnsi="Times New Roman"/>
          <w:color w:val="000000"/>
          <w:sz w:val="24"/>
        </w:rPr>
        <w:t xml:space="preserve">In giving the releases set forth in this Agreement, which include claims which may be unknown to you at present, you acknowledge that you have read and understand Section 1542 of the California Civil Code which reads as follows: </w:t>
      </w:r>
      <w:r>
        <w:rPr>
          <w:color w:val="000000"/>
        </w:rPr>
        <w:t>“</w:t>
      </w:r>
      <w:r>
        <w:rPr>
          <w:rFonts w:ascii="Times New Roman" w:hAnsi="Times New Roman"/>
          <w:b/>
          <w:color w:val="000000"/>
          <w:sz w:val="24"/>
        </w:rPr>
        <w:t xml:space="preserve">A general release does not extend to claims that the creditor or releasing party does not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b/>
          <w:color w:val="000000"/>
          <w:sz w:val="24"/>
        </w:rPr>
        <w:t xml:space="preserve">know or suspect to exist in his or her favor at the time of executing the release and that, if known by him or her, would have materially affected his or her settlement with the debtor or released party.” </w:t>
      </w:r>
      <w:r>
        <w:rPr>
          <w:rFonts w:ascii="Times New Roman" w:hAnsi="Times New Roman"/>
          <w:color w:val="000000"/>
          <w:sz w:val="24"/>
        </w:rPr>
        <w:t>You hereby expressly waive and relinquish all rights and benefits under that section and any law or legal principle of similar effect in any jurisdiction with respect to your release of claims herein, including the release of unknown and unsuspected claims.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rFonts w:ascii="Times New Roman" w:hAnsi="Times New Roman"/>
          <w:b/>
          <w:color w:val="000000"/>
          <w:sz w:val="24"/>
        </w:rPr>
        <w:t>Representations.</w:t>
      </w:r>
      <w:r>
        <w:rPr>
          <w:color w:val="000000"/>
        </w:rPr>
        <w:t xml:space="preserve"> </w:t>
      </w:r>
      <w:r>
        <w:rPr>
          <w:rFonts w:ascii="Times New Roman" w:hAnsi="Times New Roman"/>
          <w:color w:val="000000"/>
          <w:sz w:val="24"/>
        </w:rPr>
        <w:t>You hereby represent that as of the Separation Date you have been paid all compensation owed and for all hours worked as an employee of Lineage, other than the Separation Benefits; have received all the leave and leave benefits and protections for which you are eligible pursuant to the Family and Medical Leave Act, the California Family Rights Act, the Employment Agreement or otherwise; and have not suffered any on-the-job injury for which you have not already filed a workers’ compensation claim.</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pPr>
      <w:r>
        <w:rPr>
          <w:rFonts w:ascii="Times New Roman" w:hAnsi="Times New Roman"/>
          <w:b/>
          <w:color w:val="000000"/>
          <w:sz w:val="24"/>
        </w:rPr>
        <w:t xml:space="preserve">Dispute Resolution. </w:t>
      </w:r>
      <w:r>
        <w:rPr>
          <w:rFonts w:ascii="Times New Roman" w:hAnsi="Times New Roman"/>
          <w:color w:val="000000"/>
          <w:sz w:val="24"/>
        </w:rPr>
        <w:t>You and Lineage both agree that any and all disputes, claims, or causes of action, in law or equity, including statutory claims, arising from or relating to the enforcement, breach, performance, or interpretation of this Agreement, your employment or Consulting Relationship with Lineage, its predecessors or affiliates, or the termination of your employment or Consulting Relationship with Lineage, its predecessors or affiliates, will be resolved pursuant to the Federal Arbitration Act, 9 U.S.C. §1-16, and to the fullest extent permitted by law, by final, binding and confidential arbitration conducted by JAMS, Inc. (“</w:t>
      </w:r>
      <w:r>
        <w:rPr>
          <w:rFonts w:ascii="Times New Roman" w:hAnsi="Times New Roman"/>
          <w:b/>
          <w:i/>
          <w:color w:val="000000"/>
          <w:sz w:val="24"/>
        </w:rPr>
        <w:t>JAMS</w:t>
      </w:r>
      <w:r>
        <w:rPr>
          <w:color w:val="000000"/>
        </w:rPr>
        <w:t>”</w:t>
      </w:r>
      <w:r>
        <w:rPr>
          <w:rFonts w:ascii="Times New Roman" w:hAnsi="Times New Roman"/>
          <w:color w:val="000000"/>
          <w:sz w:val="24"/>
        </w:rPr>
        <w:t xml:space="preserve">) or its successors by a single arbitrator. The arbitration will be held in San Diego, California, or such other location as then-agreed by the parties. </w:t>
      </w:r>
      <w:r>
        <w:rPr>
          <w:rFonts w:ascii="Times New Roman" w:hAnsi="Times New Roman"/>
          <w:b/>
          <w:i/>
          <w:color w:val="000000"/>
          <w:sz w:val="24"/>
        </w:rPr>
        <w:t>Both you and Lineage acknowledge that by agreeing to this arbitration procedure, you each waive the right to resolve any such dispute through a trial by jury or judge or administrative proceeding</w:t>
      </w:r>
      <w:r>
        <w:rPr>
          <w:rFonts w:ascii="Times New Roman" w:hAnsi="Times New Roman"/>
          <w:color w:val="000000"/>
          <w:sz w:val="24"/>
        </w:rPr>
        <w:t>. Any such arbitration proceeding will be governed by JAMS’ then applicable rules and procedures for employment disputes, which will be provided to you upon request. In any such proceeding, the arbitrator shall: (a) have the authority to compel adequate discovery for the resolution of the dispute and to award such relief as would otherwise be permitted by law; and (b) issue a written arbitration decision including the arbitrator’s essential findings and conclusions and a statement of the award. The arbitrator shall have the sole and exclusive authority to determine whether a dispute, claim or cause of action is subject to arbitration under this Agreement and to determine any procedural questions which grow out of such disputes, claims or causes of action and bear on their final disposition. You and Lineage each shall be entitled to all rights and remedies that either would be entitled to pursue in a court of law. Nothing in this Agreement is intended to prevent either Lineage or you from obtaining injunctive relief in court to prevent irreparable harm pending the conclusion of any such arbitration pursuant to applicable law. Lineage shall pay all filing fees in excess of those which would be required if the dispute were decided in a court of law, and shall pay the arbitrator’s fees and any other fees or costs unique to arbitration. Any awards or orders in such arbitrations may be entered and enforced as judgments in the federal and state courts of any competent jurisdiction.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pPr>
      <w:r>
        <w:rPr>
          <w:rFonts w:ascii="Times New Roman" w:hAnsi="Times New Roman"/>
          <w:b/>
          <w:color w:val="000000"/>
          <w:sz w:val="24"/>
        </w:rPr>
        <w:t>Notices</w:t>
      </w:r>
      <w:r>
        <w:rPr>
          <w:rFonts w:ascii="Times New Roman" w:hAnsi="Times New Roman"/>
          <w:color w:val="000000"/>
          <w:sz w:val="24"/>
        </w:rPr>
        <w:t xml:space="preserve">. All notices required or permitted to be given under this Agreement shall be in writing and addressed to the other party at the address or email address (if provided) on the signature page to this Agreement and shall be deemed given: (a) on the day it is delivered personally (with receipt); (b) the day after it is deposited with a nationally recognized courier service for next day delivery; (c) when received if sent by registered or certified mail, return receipt requested; or (d) if delivered by email, when the recipient acknowledges receipt of the email, with an automatic “read receipt” not constituting acknowledgment of an email for the purposes of this Section 14.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pPr>
      <w:r>
        <w:rPr>
          <w:rFonts w:ascii="Times New Roman" w:hAnsi="Times New Roman"/>
          <w:b/>
          <w:color w:val="000000"/>
          <w:sz w:val="24"/>
        </w:rPr>
        <w:t>Miscellaneous.</w:t>
      </w:r>
      <w:r>
        <w:rPr>
          <w:color w:val="000000"/>
        </w:rPr>
        <w:t xml:space="preserve"> </w:t>
      </w:r>
      <w:r>
        <w:rPr>
          <w:rFonts w:ascii="Times New Roman" w:hAnsi="Times New Roman"/>
          <w:color w:val="000000"/>
          <w:sz w:val="24"/>
        </w:rPr>
        <w:t>This Agreement, the Confidentiality Agreement and any surviving sections of the Employment Agreement, the Indemnification Agreement and the Equity Documents, constitutes the complete, final and exclusive embodiment of the entire agreement between you and Lineage with regard to its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Lineage. This Agreement will bind the heirs, personal representatives, successors and assigns of both you and Lineage, and inure to the benefit of both you and Lineage, their heirs, successors and assigns. If any provision of this Agreement is determined to be invalid or unenforceable, in whole or in part, this determination will not affect any other provision of this Agreement and the provision in question will be modified so as to be rendered enforceable. This Agreement will be deemed to have been entered into and will be construed and enforced in accordance with the laws of the State of California without regard to conflict of laws principles. Any ambiguity in this Agreement shall not be construed against either party as the drafter. Any waiver of a breach of this Agreement shall be in writing and shall not be deemed to be a waiver of any successive breach. The words “includes,” “including” and similar terms shall be construed as if followed by the words “without limitation.”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w:t>
      </w:r>
    </w:p>
    <w:p>
      <w:pPr>
        <w:pStyle w:val="TextBody"/>
        <w:bidi w:val="0"/>
        <w:spacing w:before="0" w:after="240"/>
        <w:jc w:val="both"/>
        <w:rPr/>
      </w:pPr>
      <w:r>
        <w:rPr>
          <w:rFonts w:ascii="Times New Roman" w:hAnsi="Times New Roman"/>
          <w:b/>
          <w:color w:val="000000"/>
          <w:sz w:val="24"/>
        </w:rPr>
        <w:t xml:space="preserve">Execution. </w:t>
      </w:r>
      <w:r>
        <w:rPr>
          <w:rFonts w:ascii="Times New Roman" w:hAnsi="Times New Roman"/>
          <w:color w:val="000000"/>
          <w:sz w:val="24"/>
        </w:rPr>
        <w:t>This Agreement may be executed by facsimile, DocuSign</w:t>
      </w:r>
      <w:r>
        <w:rPr>
          <w:rFonts w:ascii="Times New Roman" w:hAnsi="Times New Roman"/>
          <w:color w:val="000000"/>
          <w:sz w:val="16"/>
        </w:rPr>
        <w:t>®</w:t>
      </w:r>
      <w:r>
        <w:rPr>
          <w:color w:val="000000"/>
        </w:rPr>
        <w:t xml:space="preserve"> </w:t>
      </w:r>
      <w:r>
        <w:rPr>
          <w:rFonts w:ascii="Times New Roman" w:hAnsi="Times New Roman"/>
          <w:color w:val="000000"/>
          <w:sz w:val="24"/>
        </w:rPr>
        <w:t>or by email exchange of a portable document format (“pdf”) data file, where such signature shall be valid and binding with the same force and effect as if such facsimile or such pdf file were an original thereof.</w:t>
      </w:r>
    </w:p>
    <w:p>
      <w:pPr>
        <w:pStyle w:val="TextBody"/>
        <w:bidi w:val="0"/>
        <w:spacing w:before="0" w:after="240"/>
        <w:jc w:val="center"/>
        <w:rPr>
          <w:rFonts w:ascii="Times New Roman" w:hAnsi="Times New Roman"/>
          <w:sz w:val="20"/>
        </w:rPr>
      </w:pPr>
      <w:r>
        <w:rPr>
          <w:rFonts w:ascii="Times New Roman" w:hAnsi="Times New Roman"/>
          <w:b/>
          <w:color w:val="000000"/>
          <w:sz w:val="24"/>
        </w:rPr>
        <w:t>[</w:t>
      </w:r>
      <w:r>
        <w:rPr>
          <w:rFonts w:ascii="Times New Roman" w:hAnsi="Times New Roman"/>
          <w:b/>
          <w:i/>
          <w:color w:val="000000"/>
          <w:sz w:val="24"/>
        </w:rPr>
        <w:t>Balance of Page Intentionally Left Blank</w:t>
      </w:r>
      <w:r>
        <w:rPr>
          <w:rFonts w:ascii="Times New Roman" w:hAnsi="Times New Roman"/>
          <w:b/>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this Agreement is acceptable to you, please sign below on or within 21 calendar days from the date you receive it from Lineage, and then promptly return the fully signed original to Lineage Human Resources. Lineage’s offer under this Agreement will automatically expire if Lineage does not receive the fully signed Agreement from you within this timeframe.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We wish you the best in your future endeavors.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Sincerely,</w:t>
      </w:r>
    </w:p>
    <w:p>
      <w:pPr>
        <w:pStyle w:val="TextBody"/>
        <w:bidi w:val="0"/>
        <w:spacing w:before="0" w:after="600"/>
        <w:jc w:val="left"/>
        <w:rPr>
          <w:rFonts w:ascii="Times New Roman" w:hAnsi="Times New Roman"/>
          <w:b/>
          <w:smallCaps/>
          <w:color w:val="000000"/>
          <w:sz w:val="24"/>
        </w:rPr>
      </w:pPr>
      <w:r>
        <w:rPr>
          <w:rFonts w:ascii="Times New Roman" w:hAnsi="Times New Roman"/>
          <w:b/>
          <w:smallCaps/>
          <w:color w:val="000000"/>
          <w:sz w:val="24"/>
        </w:rPr>
        <w:t>Lineage Cell Therapeutics,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i/>
          <w:color w:val="000000"/>
          <w:sz w:val="24"/>
          <w:u w:val="single"/>
        </w:rPr>
        <w:t>/s/ Brian M. Culley</w:t>
      </w:r>
    </w:p>
    <w:p>
      <w:pPr>
        <w:pStyle w:val="TextBody"/>
        <w:bidi w:val="0"/>
        <w:jc w:val="left"/>
        <w:rPr>
          <w:rFonts w:ascii="Times New Roman" w:hAnsi="Times New Roman"/>
          <w:color w:val="000000"/>
          <w:sz w:val="24"/>
        </w:rPr>
      </w:pPr>
      <w:r>
        <w:rPr>
          <w:rFonts w:ascii="Times New Roman" w:hAnsi="Times New Roman"/>
          <w:color w:val="000000"/>
          <w:sz w:val="24"/>
        </w:rPr>
        <w:t>Brian M. Culley</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Chief Executive Officer</w:t>
      </w:r>
    </w:p>
    <w:p>
      <w:pPr>
        <w:pStyle w:val="TextBody"/>
        <w:bidi w:val="0"/>
        <w:jc w:val="left"/>
        <w:rPr/>
      </w:pPr>
      <w:r>
        <w:rPr/>
        <w:t> </w:t>
      </w:r>
    </w:p>
    <w:p>
      <w:pPr>
        <w:pStyle w:val="TextBody"/>
        <w:bidi w:val="0"/>
        <w:jc w:val="left"/>
        <w:rPr/>
      </w:pPr>
      <w:r>
        <w:rPr/>
        <w:t> </w:t>
      </w:r>
    </w:p>
    <w:p>
      <w:pPr>
        <w:pStyle w:val="TextBody"/>
        <w:bidi w:val="0"/>
        <w:spacing w:before="0" w:after="480"/>
        <w:jc w:val="left"/>
        <w:rPr>
          <w:rFonts w:ascii="Times New Roman" w:hAnsi="Times New Roman"/>
          <w:b/>
          <w:smallCaps/>
          <w:color w:val="000000"/>
          <w:sz w:val="24"/>
        </w:rPr>
      </w:pPr>
      <w:r>
        <w:rPr>
          <w:rFonts w:ascii="Times New Roman" w:hAnsi="Times New Roman"/>
          <w:b/>
          <w:smallCaps/>
          <w:color w:val="000000"/>
          <w:sz w:val="24"/>
        </w:rPr>
        <w:t>I have read, understand and agree fully to the foregoing Agreement: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i/>
          <w:color w:val="000000"/>
          <w:sz w:val="24"/>
          <w:u w:val="single"/>
        </w:rPr>
        <w:t>/s/ Gary S. Hogge</w:t>
      </w:r>
    </w:p>
    <w:p>
      <w:pPr>
        <w:pStyle w:val="TextBody"/>
        <w:bidi w:val="0"/>
        <w:jc w:val="left"/>
        <w:rPr>
          <w:rFonts w:ascii="Times New Roman" w:hAnsi="Times New Roman"/>
          <w:color w:val="000000"/>
          <w:sz w:val="24"/>
        </w:rPr>
      </w:pPr>
      <w:r>
        <w:rPr>
          <w:rFonts w:ascii="Times New Roman" w:hAnsi="Times New Roman"/>
          <w:color w:val="000000"/>
          <w:sz w:val="24"/>
        </w:rPr>
        <w:t>Gary S. Hogge</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12/1/2023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Date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9" w:name="lctx-ex10_04b.htm"/>
      <w:bookmarkStart w:id="40" w:name="kslctxex10_04b"/>
      <w:bookmarkEnd w:id="39"/>
      <w:bookmarkEnd w:id="40"/>
      <w:r>
        <w:rPr>
          <w:rFonts w:ascii="Times New Roman" w:hAnsi="Times New Roman"/>
          <w:b/>
          <w:color w:val="000000"/>
          <w:sz w:val="24"/>
        </w:rPr>
        <w:t>Exhibit 10.04(b)</w:t>
      </w:r>
      <w:r>
        <w:rPr>
          <w:rFonts w:ascii="Times New Roman" w:hAnsi="Times New Roman"/>
          <w:color w:val="000000"/>
          <w:sz w:val="24"/>
        </w:rPr>
        <w:br/>
      </w:r>
      <w:r>
        <w:rPr>
          <w:rFonts w:ascii="Times New Roman" w:hAnsi="Times New Roman"/>
          <w:color w:val="000000"/>
          <w:sz w:val="20"/>
        </w:rPr>
        <w:t> </w:t>
      </w:r>
      <w:r>
        <w:br w:type="page"/>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AMENDMENT TO STOCK OPTION AGREEMENTS</w:t>
      </w:r>
    </w:p>
    <w:p>
      <w:pPr>
        <w:pStyle w:val="TextBody"/>
        <w:bidi w:val="0"/>
        <w:spacing w:before="0" w:after="240"/>
        <w:jc w:val="both"/>
        <w:rPr>
          <w:rFonts w:ascii="Times New Roman" w:hAnsi="Times New Roman"/>
          <w:sz w:val="20"/>
        </w:rPr>
      </w:pPr>
      <w:r>
        <w:rPr>
          <w:rFonts w:ascii="Times New Roman" w:hAnsi="Times New Roman"/>
          <w:color w:val="000000"/>
          <w:sz w:val="22"/>
        </w:rPr>
        <w:t>This AMENDMENT TO STOCK OPTION AGREEMENTS (this “</w:t>
      </w:r>
      <w:r>
        <w:rPr>
          <w:rFonts w:ascii="Times New Roman" w:hAnsi="Times New Roman"/>
          <w:b/>
          <w:i/>
          <w:color w:val="000000"/>
          <w:sz w:val="22"/>
        </w:rPr>
        <w:t>Amendment</w:t>
      </w:r>
      <w:r>
        <w:rPr>
          <w:rFonts w:ascii="Times New Roman" w:hAnsi="Times New Roman"/>
          <w:color w:val="000000"/>
          <w:sz w:val="20"/>
        </w:rPr>
        <w:t>”</w:t>
      </w:r>
      <w:r>
        <w:rPr>
          <w:rFonts w:ascii="Times New Roman" w:hAnsi="Times New Roman"/>
          <w:color w:val="000000"/>
          <w:sz w:val="22"/>
        </w:rPr>
        <w:t>), is made and entered into as of December 4, 2023 (the “</w:t>
      </w:r>
      <w:r>
        <w:rPr>
          <w:rFonts w:ascii="Times New Roman" w:hAnsi="Times New Roman"/>
          <w:b/>
          <w:i/>
          <w:color w:val="000000"/>
          <w:sz w:val="22"/>
        </w:rPr>
        <w:t>Amendment</w:t>
      </w:r>
      <w:r>
        <w:rPr>
          <w:rFonts w:ascii="Times New Roman" w:hAnsi="Times New Roman"/>
          <w:color w:val="000000"/>
          <w:sz w:val="20"/>
        </w:rPr>
        <w:t xml:space="preserve"> </w:t>
      </w:r>
      <w:r>
        <w:rPr>
          <w:rFonts w:ascii="Times New Roman" w:hAnsi="Times New Roman"/>
          <w:b/>
          <w:i/>
          <w:color w:val="000000"/>
          <w:sz w:val="22"/>
        </w:rPr>
        <w:t>Date</w:t>
      </w:r>
      <w:r>
        <w:rPr>
          <w:rFonts w:ascii="Times New Roman" w:hAnsi="Times New Roman"/>
          <w:color w:val="000000"/>
          <w:sz w:val="20"/>
        </w:rPr>
        <w:t>”</w:t>
      </w:r>
      <w:r>
        <w:rPr>
          <w:rFonts w:ascii="Times New Roman" w:hAnsi="Times New Roman"/>
          <w:color w:val="000000"/>
          <w:sz w:val="22"/>
        </w:rPr>
        <w:t>), by and between Lineage Cell Therapeutics, Inc., a California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and Dr. Gary S. Hogge, an individual (“</w:t>
      </w:r>
      <w:r>
        <w:rPr>
          <w:rFonts w:ascii="Times New Roman" w:hAnsi="Times New Roman"/>
          <w:b/>
          <w:i/>
          <w:color w:val="000000"/>
          <w:sz w:val="22"/>
        </w:rPr>
        <w:t>Dr. Hogge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Company and Dr. Hogge previously entered into stock option agreements (collectively, the “</w:t>
      </w:r>
      <w:r>
        <w:rPr>
          <w:rFonts w:ascii="Times New Roman" w:hAnsi="Times New Roman"/>
          <w:b/>
          <w:i/>
          <w:color w:val="000000"/>
          <w:sz w:val="22"/>
        </w:rPr>
        <w:t>Option</w:t>
      </w:r>
      <w:r>
        <w:rPr>
          <w:rFonts w:ascii="Times New Roman" w:hAnsi="Times New Roman"/>
          <w:color w:val="000000"/>
          <w:sz w:val="20"/>
        </w:rPr>
        <w:t xml:space="preserve"> </w:t>
      </w:r>
      <w:r>
        <w:rPr>
          <w:rFonts w:ascii="Times New Roman" w:hAnsi="Times New Roman"/>
          <w:b/>
          <w:i/>
          <w:color w:val="000000"/>
          <w:sz w:val="22"/>
        </w:rPr>
        <w:t>Agreements</w:t>
      </w:r>
      <w:r>
        <w:rPr>
          <w:rFonts w:ascii="Times New Roman" w:hAnsi="Times New Roman"/>
          <w:color w:val="000000"/>
          <w:sz w:val="20"/>
        </w:rPr>
        <w:t>”</w:t>
      </w:r>
      <w:r>
        <w:rPr>
          <w:rFonts w:ascii="Times New Roman" w:hAnsi="Times New Roman"/>
          <w:color w:val="000000"/>
          <w:sz w:val="22"/>
        </w:rPr>
        <w:t>) evidencing stock options granted to Dr. Hogge (collectively, the “</w:t>
      </w:r>
      <w:r>
        <w:rPr>
          <w:rFonts w:ascii="Times New Roman" w:hAnsi="Times New Roman"/>
          <w:b/>
          <w:i/>
          <w:color w:val="000000"/>
          <w:sz w:val="22"/>
        </w:rPr>
        <w:t>Options</w:t>
      </w:r>
      <w:r>
        <w:rPr>
          <w:rFonts w:ascii="Times New Roman" w:hAnsi="Times New Roman"/>
          <w:color w:val="000000"/>
          <w:sz w:val="20"/>
        </w:rPr>
        <w:t>”</w:t>
      </w:r>
      <w:r>
        <w:rPr>
          <w:rFonts w:ascii="Times New Roman" w:hAnsi="Times New Roman"/>
          <w:color w:val="000000"/>
          <w:sz w:val="22"/>
        </w:rPr>
        <w:t>) under either the Lineage Cell Therapeutics, Inc. 2012 Equity Incentive Plan (as amended from time to time, the “</w:t>
      </w:r>
      <w:r>
        <w:rPr>
          <w:rFonts w:ascii="Times New Roman" w:hAnsi="Times New Roman"/>
          <w:b/>
          <w:i/>
          <w:color w:val="000000"/>
          <w:sz w:val="22"/>
        </w:rPr>
        <w:t>2012 Plan</w:t>
      </w:r>
      <w:r>
        <w:rPr>
          <w:rFonts w:ascii="Times New Roman" w:hAnsi="Times New Roman"/>
          <w:color w:val="000000"/>
          <w:sz w:val="20"/>
        </w:rPr>
        <w:t>”</w:t>
      </w:r>
      <w:r>
        <w:rPr>
          <w:rFonts w:ascii="Times New Roman" w:hAnsi="Times New Roman"/>
          <w:color w:val="000000"/>
          <w:sz w:val="22"/>
        </w:rPr>
        <w:t>) or the Lineage Cell Therapeutics, Inc. 2021 Equity Incentive Plan (as amended from time to time, the “</w:t>
      </w:r>
      <w:r>
        <w:rPr>
          <w:rFonts w:ascii="Times New Roman" w:hAnsi="Times New Roman"/>
          <w:b/>
          <w:i/>
          <w:color w:val="000000"/>
          <w:sz w:val="22"/>
        </w:rPr>
        <w:t>2021 Plan</w:t>
      </w:r>
      <w:r>
        <w:rPr>
          <w:rFonts w:ascii="Times New Roman" w:hAnsi="Times New Roman"/>
          <w:color w:val="000000"/>
          <w:sz w:val="20"/>
        </w:rPr>
        <w:t xml:space="preserve">” </w:t>
      </w:r>
      <w:r>
        <w:rPr>
          <w:rFonts w:ascii="Times New Roman" w:hAnsi="Times New Roman"/>
          <w:color w:val="000000"/>
          <w:sz w:val="22"/>
        </w:rPr>
        <w:t>and together with the 2012 Plan, the “</w:t>
      </w:r>
      <w:r>
        <w:rPr>
          <w:rFonts w:ascii="Times New Roman" w:hAnsi="Times New Roman"/>
          <w:b/>
          <w:i/>
          <w:color w:val="000000"/>
          <w:sz w:val="22"/>
        </w:rPr>
        <w:t>Plans</w:t>
      </w:r>
      <w:r>
        <w:rPr>
          <w:rFonts w:ascii="Times New Roman" w:hAnsi="Times New Roman"/>
          <w:color w:val="000000"/>
          <w:sz w:val="20"/>
        </w:rPr>
        <w:t>”</w:t>
      </w:r>
      <w:r>
        <w:rPr>
          <w:rFonts w:ascii="Times New Roman" w:hAnsi="Times New Roman"/>
          <w:color w:val="000000"/>
          <w:sz w:val="22"/>
        </w:rPr>
        <w:t>), certain of which are described in more detail herein;</w:t>
      </w:r>
    </w:p>
    <w:p>
      <w:pPr>
        <w:pStyle w:val="TextBody"/>
        <w:bidi w:val="0"/>
        <w:spacing w:before="0" w:after="24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effective November 30, 2023 (the “</w:t>
      </w:r>
      <w:r>
        <w:rPr>
          <w:rFonts w:ascii="Times New Roman" w:hAnsi="Times New Roman"/>
          <w:b/>
          <w:i/>
          <w:color w:val="000000"/>
          <w:sz w:val="22"/>
        </w:rPr>
        <w:t>Separation</w:t>
      </w:r>
      <w:r>
        <w:rPr>
          <w:rFonts w:ascii="Times New Roman" w:hAnsi="Times New Roman"/>
          <w:color w:val="000000"/>
          <w:sz w:val="20"/>
        </w:rPr>
        <w:t xml:space="preserve"> </w:t>
      </w:r>
      <w:r>
        <w:rPr>
          <w:rFonts w:ascii="Times New Roman" w:hAnsi="Times New Roman"/>
          <w:b/>
          <w:i/>
          <w:color w:val="000000"/>
          <w:sz w:val="22"/>
        </w:rPr>
        <w:t>Date</w:t>
      </w:r>
      <w:r>
        <w:rPr>
          <w:rFonts w:ascii="Times New Roman" w:hAnsi="Times New Roman"/>
          <w:color w:val="000000"/>
          <w:sz w:val="20"/>
        </w:rPr>
        <w:t>”</w:t>
      </w:r>
      <w:r>
        <w:rPr>
          <w:rFonts w:ascii="Times New Roman" w:hAnsi="Times New Roman"/>
          <w:color w:val="000000"/>
          <w:sz w:val="22"/>
        </w:rPr>
        <w:t>), Dr. Hogge’s employment with the Company as Senior Vice President, Clinical and Medical Affairs, as well as any other positions he held as an employee, officer and/or director of the Company or any of its subsidiaries or affiliates, terminated;</w:t>
      </w:r>
    </w:p>
    <w:p>
      <w:pPr>
        <w:pStyle w:val="TextBody"/>
        <w:bidi w:val="0"/>
        <w:spacing w:before="0" w:after="24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in connection with such termination, Dr. Hogge and the Company entered into a separation, release and consulting agreement dated November 30, 2023 (the “</w:t>
      </w:r>
      <w:r>
        <w:rPr>
          <w:rFonts w:ascii="Times New Roman" w:hAnsi="Times New Roman"/>
          <w:b/>
          <w:i/>
          <w:color w:val="000000"/>
          <w:sz w:val="22"/>
        </w:rPr>
        <w:t>Separation and Consulting Agreement</w:t>
      </w:r>
      <w:r>
        <w:rPr>
          <w:rFonts w:ascii="Times New Roman" w:hAnsi="Times New Roman"/>
          <w:color w:val="000000"/>
          <w:sz w:val="20"/>
        </w:rPr>
        <w:t>”</w:t>
      </w:r>
      <w:r>
        <w:rPr>
          <w:rFonts w:ascii="Times New Roman" w:hAnsi="Times New Roman"/>
          <w:color w:val="000000"/>
          <w:sz w:val="22"/>
        </w:rPr>
        <w:t>); and</w:t>
      </w:r>
    </w:p>
    <w:p>
      <w:pPr>
        <w:pStyle w:val="TextBody"/>
        <w:bidi w:val="0"/>
        <w:spacing w:before="0" w:after="24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Company and Dr. Hogge wish to amend the terms of certain of the Options and Stock Option Agreements in the manner set forth herein.</w:t>
      </w:r>
    </w:p>
    <w:p>
      <w:pPr>
        <w:pStyle w:val="TextBody"/>
        <w:bidi w:val="0"/>
        <w:spacing w:before="0" w:after="240"/>
        <w:jc w:val="both"/>
        <w:rPr>
          <w:rFonts w:ascii="Times New Roman" w:hAnsi="Times New Roman"/>
          <w:sz w:val="20"/>
        </w:rPr>
      </w:pPr>
      <w:r>
        <w:rPr>
          <w:rFonts w:ascii="Times New Roman" w:hAnsi="Times New Roman"/>
          <w:b/>
          <w:color w:val="000000"/>
          <w:sz w:val="22"/>
        </w:rPr>
        <w:t>NOW, THEREFORE</w:t>
      </w:r>
      <w:r>
        <w:rPr>
          <w:rFonts w:ascii="Times New Roman" w:hAnsi="Times New Roman"/>
          <w:color w:val="000000"/>
          <w:sz w:val="22"/>
        </w:rPr>
        <w:t>, in consideration of the foregoing and the mutual representations, warranties and covenants, and subject to the conditions, set forth herein, and intending to be legally bound hereby, each of the Company and Dr. Hogge acknowledges and agrees as follows: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pPr>
      <w:r>
        <w:rPr>
          <w:rFonts w:ascii="Times New Roman" w:hAnsi="Times New Roman"/>
          <w:b/>
          <w:color w:val="000000"/>
          <w:sz w:val="22"/>
        </w:rPr>
        <w:t>Defined Terms</w:t>
      </w:r>
      <w:r>
        <w:rPr>
          <w:rFonts w:ascii="Times New Roman" w:hAnsi="Times New Roman"/>
          <w:color w:val="000000"/>
          <w:sz w:val="22"/>
        </w:rPr>
        <w:t xml:space="preserve">. All capitalized terms used herein and not herein defined shall have the meanings ascribed to them, when referring to Options granted under the 2012 Plan, in the 2012 Plan, and when referring to Options granted under the 2021 Plan, in the 2021 Plan.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pPr>
      <w:r>
        <w:rPr>
          <w:rFonts w:ascii="Times New Roman" w:hAnsi="Times New Roman"/>
          <w:b/>
          <w:color w:val="000000"/>
          <w:sz w:val="22"/>
        </w:rPr>
        <w:t>Stock Options</w:t>
      </w:r>
      <w:r>
        <w:rPr>
          <w:rFonts w:ascii="Times New Roman" w:hAnsi="Times New Roman"/>
          <w:color w:val="000000"/>
          <w:sz w:val="22"/>
        </w:rPr>
        <w:t>. The table below accurately describes each Option that is outstanding as of the Amendment Date (each, a “</w:t>
      </w:r>
      <w:r>
        <w:rPr>
          <w:rFonts w:ascii="Times New Roman" w:hAnsi="Times New Roman"/>
          <w:b/>
          <w:i/>
          <w:color w:val="000000"/>
          <w:sz w:val="22"/>
        </w:rPr>
        <w:t>Subject</w:t>
      </w:r>
      <w:r>
        <w:rPr>
          <w:color w:val="000000"/>
        </w:rPr>
        <w:t xml:space="preserve"> </w:t>
      </w:r>
      <w:r>
        <w:rPr>
          <w:rFonts w:ascii="Times New Roman" w:hAnsi="Times New Roman"/>
          <w:b/>
          <w:i/>
          <w:color w:val="000000"/>
          <w:sz w:val="22"/>
        </w:rPr>
        <w:t>Option</w:t>
      </w:r>
      <w:r>
        <w:rPr>
          <w:color w:val="000000"/>
        </w:rPr>
        <w:t xml:space="preserve">” </w:t>
      </w:r>
      <w:r>
        <w:rPr>
          <w:rFonts w:ascii="Times New Roman" w:hAnsi="Times New Roman"/>
          <w:color w:val="000000"/>
          <w:sz w:val="22"/>
        </w:rPr>
        <w:t>and collectively, the “</w:t>
      </w:r>
      <w:r>
        <w:rPr>
          <w:rFonts w:ascii="Times New Roman" w:hAnsi="Times New Roman"/>
          <w:b/>
          <w:i/>
          <w:color w:val="000000"/>
          <w:sz w:val="22"/>
        </w:rPr>
        <w:t>Subject</w:t>
      </w:r>
      <w:r>
        <w:rPr>
          <w:color w:val="000000"/>
        </w:rPr>
        <w:t xml:space="preserve"> </w:t>
      </w:r>
      <w:r>
        <w:rPr>
          <w:rFonts w:ascii="Times New Roman" w:hAnsi="Times New Roman"/>
          <w:b/>
          <w:i/>
          <w:color w:val="000000"/>
          <w:sz w:val="22"/>
        </w:rPr>
        <w:t>Options</w:t>
      </w:r>
      <w:r>
        <w:rPr>
          <w:color w:val="000000"/>
        </w:rPr>
        <w:t>”</w:t>
      </w:r>
      <w:r>
        <w:rPr>
          <w:rFonts w:ascii="Times New Roman" w:hAnsi="Times New Roman"/>
          <w:color w:val="000000"/>
          <w:sz w:val="22"/>
        </w:rPr>
        <w:t xml:space="preserve">) and the extent to which the shares subject to the applicable Subject Option are vested or unvested as of the Amendment Date; it being agreed and understood that any Option, or any other equity award, granted to Dr. Hogge prior to the Amendment Date not set forth below is terminated, expired and/or forfeited: </w:t>
      </w:r>
    </w:p>
    <w:tbl>
      <w:tblPr>
        <w:tblW w:w="9111" w:type="dxa"/>
        <w:jc w:val="left"/>
        <w:tblInd w:w="0" w:type="dxa"/>
        <w:tblLayout w:type="fixed"/>
        <w:tblCellMar>
          <w:top w:w="28" w:type="dxa"/>
          <w:left w:w="28" w:type="dxa"/>
          <w:bottom w:w="28" w:type="dxa"/>
          <w:right w:w="28" w:type="dxa"/>
        </w:tblCellMar>
      </w:tblPr>
      <w:tblGrid>
        <w:gridCol w:w="1126"/>
        <w:gridCol w:w="1231"/>
        <w:gridCol w:w="931"/>
        <w:gridCol w:w="2566"/>
        <w:gridCol w:w="1486"/>
        <w:gridCol w:w="1771"/>
      </w:tblGrid>
      <w:tr>
        <w:trPr/>
        <w:tc>
          <w:tcPr>
            <w:tcW w:w="11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b/>
                <w:color w:val="000000"/>
                <w:sz w:val="22"/>
              </w:rPr>
            </w:pPr>
            <w:r>
              <w:rPr>
                <w:rFonts w:ascii="Times New Roman" w:hAnsi="Times New Roman"/>
                <w:b/>
                <w:color w:val="000000"/>
                <w:sz w:val="22"/>
              </w:rPr>
              <w:t>Grant No.</w:t>
            </w:r>
          </w:p>
        </w:tc>
        <w:tc>
          <w:tcPr>
            <w:tcW w:w="1231"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b/>
                <w:color w:val="000000"/>
                <w:sz w:val="22"/>
              </w:rPr>
            </w:pPr>
            <w:r>
              <w:rPr>
                <w:rFonts w:ascii="Times New Roman" w:hAnsi="Times New Roman"/>
                <w:b/>
                <w:color w:val="000000"/>
                <w:sz w:val="22"/>
              </w:rPr>
              <w:t>Grant Date</w:t>
            </w:r>
          </w:p>
        </w:tc>
        <w:tc>
          <w:tcPr>
            <w:tcW w:w="931"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b/>
                <w:color w:val="000000"/>
                <w:sz w:val="22"/>
              </w:rPr>
            </w:pPr>
            <w:r>
              <w:rPr>
                <w:rFonts w:ascii="Times New Roman" w:hAnsi="Times New Roman"/>
                <w:b/>
                <w:color w:val="000000"/>
                <w:sz w:val="22"/>
              </w:rPr>
              <w:t>Type (1)</w:t>
            </w:r>
          </w:p>
        </w:tc>
        <w:tc>
          <w:tcPr>
            <w:tcW w:w="2566"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b/>
                <w:color w:val="000000"/>
                <w:sz w:val="22"/>
              </w:rPr>
            </w:pPr>
            <w:r>
              <w:rPr>
                <w:rFonts w:ascii="Times New Roman" w:hAnsi="Times New Roman"/>
                <w:b/>
                <w:color w:val="000000"/>
                <w:sz w:val="22"/>
              </w:rPr>
              <w:t>Total Granted Shares (2)</w:t>
            </w:r>
          </w:p>
        </w:tc>
        <w:tc>
          <w:tcPr>
            <w:tcW w:w="1486"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b/>
                <w:color w:val="000000"/>
                <w:sz w:val="22"/>
              </w:rPr>
            </w:pPr>
            <w:r>
              <w:rPr>
                <w:rFonts w:ascii="Times New Roman" w:hAnsi="Times New Roman"/>
                <w:b/>
                <w:color w:val="000000"/>
                <w:sz w:val="22"/>
              </w:rPr>
              <w:t>Unexercised</w:t>
              <w:br/>
              <w:t>Vested Shares</w:t>
            </w:r>
          </w:p>
        </w:tc>
        <w:tc>
          <w:tcPr>
            <w:tcW w:w="1771"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b/>
                <w:color w:val="000000"/>
                <w:sz w:val="22"/>
              </w:rPr>
            </w:pPr>
            <w:r>
              <w:rPr>
                <w:rFonts w:ascii="Times New Roman" w:hAnsi="Times New Roman"/>
                <w:b/>
                <w:color w:val="000000"/>
                <w:sz w:val="22"/>
              </w:rPr>
              <w:t>Unvested Shares</w:t>
            </w:r>
          </w:p>
        </w:tc>
      </w:tr>
      <w:tr>
        <w:trPr/>
        <w:tc>
          <w:tcPr>
            <w:tcW w:w="1126" w:type="dxa"/>
            <w:tcBorders/>
            <w:tcMar>
              <w:top w:w="0" w:type="dxa"/>
              <w:left w:w="0" w:type="dxa"/>
              <w:bottom w:w="0" w:type="dxa"/>
              <w:right w:w="0" w:type="dxa"/>
            </w:tcMar>
            <w:vAlign w:val="center"/>
          </w:tcPr>
          <w:p>
            <w:pPr>
              <w:pStyle w:val="TableContents"/>
              <w:bidi w:val="0"/>
              <w:spacing w:before="0" w:after="144"/>
              <w:ind w:left="0" w:right="0" w:firstLine="248"/>
              <w:jc w:val="left"/>
              <w:rPr>
                <w:rFonts w:ascii="Times New Roman" w:hAnsi="Times New Roman"/>
                <w:color w:val="000000"/>
                <w:sz w:val="22"/>
              </w:rPr>
            </w:pPr>
            <w:r>
              <w:rPr>
                <w:rFonts w:ascii="Times New Roman" w:hAnsi="Times New Roman"/>
                <w:color w:val="000000"/>
                <w:sz w:val="22"/>
              </w:rPr>
              <w:t>021604</w:t>
            </w:r>
          </w:p>
        </w:tc>
        <w:tc>
          <w:tcPr>
            <w:tcW w:w="1231" w:type="dxa"/>
            <w:tcBorders/>
            <w:tcMar>
              <w:top w:w="0" w:type="dxa"/>
              <w:left w:w="0" w:type="dxa"/>
              <w:bottom w:w="0" w:type="dxa"/>
              <w:right w:w="0" w:type="dxa"/>
            </w:tcMar>
            <w:vAlign w:val="center"/>
          </w:tcPr>
          <w:p>
            <w:pPr>
              <w:pStyle w:val="TableContents"/>
              <w:bidi w:val="0"/>
              <w:ind w:left="248" w:right="0" w:firstLine="248"/>
              <w:jc w:val="left"/>
              <w:rPr/>
            </w:pPr>
            <w:r>
              <w:rPr/>
              <w:t> </w:t>
            </w:r>
          </w:p>
          <w:p>
            <w:pPr>
              <w:pStyle w:val="TableContents"/>
              <w:bidi w:val="0"/>
              <w:spacing w:before="0" w:after="144"/>
              <w:ind w:left="0" w:right="0" w:firstLine="45"/>
              <w:jc w:val="left"/>
              <w:rPr>
                <w:rFonts w:ascii="Times New Roman" w:hAnsi="Times New Roman"/>
                <w:color w:val="000000"/>
                <w:sz w:val="22"/>
              </w:rPr>
            </w:pPr>
            <w:r>
              <w:rPr>
                <w:rFonts w:ascii="Times New Roman" w:hAnsi="Times New Roman"/>
                <w:color w:val="000000"/>
                <w:sz w:val="22"/>
              </w:rPr>
              <w:t>03/17/2020</w:t>
            </w:r>
          </w:p>
        </w:tc>
        <w:tc>
          <w:tcPr>
            <w:tcW w:w="931" w:type="dxa"/>
            <w:tcBorders/>
            <w:tcMar>
              <w:top w:w="0" w:type="dxa"/>
              <w:left w:w="0" w:type="dxa"/>
              <w:bottom w:w="0" w:type="dxa"/>
              <w:right w:w="0" w:type="dxa"/>
            </w:tcMar>
            <w:vAlign w:val="center"/>
          </w:tcPr>
          <w:p>
            <w:pPr>
              <w:pStyle w:val="TableContents"/>
              <w:bidi w:val="0"/>
              <w:ind w:left="45" w:right="0" w:firstLine="45"/>
              <w:jc w:val="left"/>
              <w:rPr/>
            </w:pPr>
            <w:r>
              <w:rPr/>
              <w:t> </w:t>
            </w:r>
          </w:p>
          <w:p>
            <w:pPr>
              <w:pStyle w:val="TableContents"/>
              <w:bidi w:val="0"/>
              <w:spacing w:before="0" w:after="144"/>
              <w:ind w:left="0" w:right="0" w:firstLine="45"/>
              <w:jc w:val="center"/>
              <w:rPr>
                <w:rFonts w:ascii="Times New Roman" w:hAnsi="Times New Roman"/>
                <w:color w:val="000000"/>
                <w:sz w:val="22"/>
              </w:rPr>
            </w:pPr>
            <w:r>
              <w:rPr>
                <w:rFonts w:ascii="Times New Roman" w:hAnsi="Times New Roman"/>
                <w:color w:val="000000"/>
                <w:sz w:val="22"/>
              </w:rPr>
              <w:t>ISO</w:t>
            </w:r>
          </w:p>
        </w:tc>
        <w:tc>
          <w:tcPr>
            <w:tcW w:w="2566"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205,652</w:t>
            </w:r>
          </w:p>
        </w:tc>
        <w:tc>
          <w:tcPr>
            <w:tcW w:w="1486"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168,529</w:t>
            </w:r>
          </w:p>
        </w:tc>
        <w:tc>
          <w:tcPr>
            <w:tcW w:w="1771"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37,000</w:t>
            </w:r>
          </w:p>
        </w:tc>
      </w:tr>
      <w:tr>
        <w:trPr/>
        <w:tc>
          <w:tcPr>
            <w:tcW w:w="1126" w:type="dxa"/>
            <w:tcBorders/>
            <w:tcMar>
              <w:top w:w="0" w:type="dxa"/>
              <w:left w:w="0" w:type="dxa"/>
              <w:bottom w:w="0" w:type="dxa"/>
              <w:right w:w="0" w:type="dxa"/>
            </w:tcMar>
            <w:vAlign w:val="center"/>
          </w:tcPr>
          <w:p>
            <w:pPr>
              <w:pStyle w:val="TableContents"/>
              <w:bidi w:val="0"/>
              <w:spacing w:before="0" w:after="144"/>
              <w:jc w:val="left"/>
              <w:rPr>
                <w:rFonts w:ascii="Times New Roman" w:hAnsi="Times New Roman"/>
                <w:color w:val="000000"/>
                <w:sz w:val="22"/>
              </w:rPr>
            </w:pPr>
            <w:r>
              <w:rPr>
                <w:rFonts w:ascii="Times New Roman" w:hAnsi="Times New Roman"/>
                <w:color w:val="000000"/>
                <w:sz w:val="22"/>
              </w:rPr>
              <w:t>021605</w:t>
            </w:r>
          </w:p>
        </w:tc>
        <w:tc>
          <w:tcPr>
            <w:tcW w:w="1231" w:type="dxa"/>
            <w:tcBorders/>
            <w:tcMar>
              <w:top w:w="0" w:type="dxa"/>
              <w:left w:w="0" w:type="dxa"/>
              <w:bottom w:w="0" w:type="dxa"/>
              <w:right w:w="0" w:type="dxa"/>
            </w:tcMar>
            <w:vAlign w:val="center"/>
          </w:tcPr>
          <w:p>
            <w:pPr>
              <w:pStyle w:val="TableContents"/>
              <w:bidi w:val="0"/>
              <w:spacing w:before="0" w:after="144"/>
              <w:jc w:val="left"/>
              <w:rPr>
                <w:rFonts w:ascii="Times New Roman" w:hAnsi="Times New Roman"/>
                <w:color w:val="000000"/>
                <w:sz w:val="22"/>
              </w:rPr>
            </w:pPr>
            <w:r>
              <w:rPr>
                <w:rFonts w:ascii="Times New Roman" w:hAnsi="Times New Roman"/>
                <w:color w:val="000000"/>
                <w:sz w:val="22"/>
              </w:rPr>
              <w:t>03/17/2020</w:t>
            </w:r>
          </w:p>
        </w:tc>
        <w:tc>
          <w:tcPr>
            <w:tcW w:w="931"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NQ</w:t>
            </w:r>
          </w:p>
        </w:tc>
        <w:tc>
          <w:tcPr>
            <w:tcW w:w="2566"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238,348</w:t>
            </w:r>
          </w:p>
        </w:tc>
        <w:tc>
          <w:tcPr>
            <w:tcW w:w="1486"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44,221</w:t>
            </w:r>
          </w:p>
        </w:tc>
        <w:tc>
          <w:tcPr>
            <w:tcW w:w="1771"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0</w:t>
            </w:r>
          </w:p>
        </w:tc>
      </w:tr>
      <w:tr>
        <w:trPr/>
        <w:tc>
          <w:tcPr>
            <w:tcW w:w="1126" w:type="dxa"/>
            <w:tcBorders/>
            <w:tcMar>
              <w:top w:w="0" w:type="dxa"/>
              <w:left w:w="0" w:type="dxa"/>
              <w:bottom w:w="0" w:type="dxa"/>
              <w:right w:w="0" w:type="dxa"/>
            </w:tcMar>
            <w:vAlign w:val="center"/>
          </w:tcPr>
          <w:p>
            <w:pPr>
              <w:pStyle w:val="TableContents"/>
              <w:bidi w:val="0"/>
              <w:spacing w:before="0" w:after="144"/>
              <w:jc w:val="left"/>
              <w:rPr>
                <w:rFonts w:ascii="Times New Roman" w:hAnsi="Times New Roman"/>
                <w:color w:val="000000"/>
                <w:sz w:val="22"/>
              </w:rPr>
            </w:pPr>
            <w:r>
              <w:rPr>
                <w:rFonts w:ascii="Times New Roman" w:hAnsi="Times New Roman"/>
                <w:color w:val="000000"/>
                <w:sz w:val="22"/>
              </w:rPr>
              <w:t>021681</w:t>
            </w:r>
          </w:p>
        </w:tc>
        <w:tc>
          <w:tcPr>
            <w:tcW w:w="1231" w:type="dxa"/>
            <w:tcBorders/>
            <w:tcMar>
              <w:top w:w="0" w:type="dxa"/>
              <w:left w:w="0" w:type="dxa"/>
              <w:bottom w:w="0" w:type="dxa"/>
              <w:right w:w="0" w:type="dxa"/>
            </w:tcMar>
            <w:vAlign w:val="center"/>
          </w:tcPr>
          <w:p>
            <w:pPr>
              <w:pStyle w:val="TableContents"/>
              <w:bidi w:val="0"/>
              <w:spacing w:before="0" w:after="144"/>
              <w:jc w:val="left"/>
              <w:rPr>
                <w:rFonts w:ascii="Times New Roman" w:hAnsi="Times New Roman"/>
                <w:color w:val="000000"/>
                <w:sz w:val="22"/>
              </w:rPr>
            </w:pPr>
            <w:r>
              <w:rPr>
                <w:rFonts w:ascii="Times New Roman" w:hAnsi="Times New Roman"/>
                <w:color w:val="000000"/>
                <w:sz w:val="22"/>
              </w:rPr>
              <w:t>03/15/2021</w:t>
            </w:r>
          </w:p>
        </w:tc>
        <w:tc>
          <w:tcPr>
            <w:tcW w:w="931"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ISO</w:t>
            </w:r>
          </w:p>
        </w:tc>
        <w:tc>
          <w:tcPr>
            <w:tcW w:w="2566"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66,817</w:t>
            </w:r>
          </w:p>
        </w:tc>
        <w:tc>
          <w:tcPr>
            <w:tcW w:w="1486"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6,735</w:t>
            </w:r>
          </w:p>
        </w:tc>
        <w:tc>
          <w:tcPr>
            <w:tcW w:w="1771"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60,082</w:t>
            </w:r>
          </w:p>
        </w:tc>
      </w:tr>
      <w:tr>
        <w:trPr/>
        <w:tc>
          <w:tcPr>
            <w:tcW w:w="1126" w:type="dxa"/>
            <w:tcBorders/>
            <w:tcMar>
              <w:top w:w="0" w:type="dxa"/>
              <w:left w:w="0" w:type="dxa"/>
              <w:bottom w:w="0" w:type="dxa"/>
              <w:right w:w="0" w:type="dxa"/>
            </w:tcMar>
            <w:vAlign w:val="center"/>
          </w:tcPr>
          <w:p>
            <w:pPr>
              <w:pStyle w:val="TableContents"/>
              <w:bidi w:val="0"/>
              <w:spacing w:before="0" w:after="144"/>
              <w:jc w:val="left"/>
              <w:rPr>
                <w:rFonts w:ascii="Times New Roman" w:hAnsi="Times New Roman"/>
                <w:color w:val="000000"/>
                <w:sz w:val="22"/>
              </w:rPr>
            </w:pPr>
            <w:r>
              <w:rPr>
                <w:rFonts w:ascii="Times New Roman" w:hAnsi="Times New Roman"/>
                <w:color w:val="000000"/>
                <w:sz w:val="22"/>
              </w:rPr>
              <w:t>021682</w:t>
            </w:r>
          </w:p>
        </w:tc>
        <w:tc>
          <w:tcPr>
            <w:tcW w:w="1231" w:type="dxa"/>
            <w:tcBorders/>
            <w:tcMar>
              <w:top w:w="0" w:type="dxa"/>
              <w:left w:w="0" w:type="dxa"/>
              <w:bottom w:w="0" w:type="dxa"/>
              <w:right w:w="0" w:type="dxa"/>
            </w:tcMar>
            <w:vAlign w:val="center"/>
          </w:tcPr>
          <w:p>
            <w:pPr>
              <w:pStyle w:val="TableContents"/>
              <w:bidi w:val="0"/>
              <w:spacing w:before="0" w:after="144"/>
              <w:jc w:val="left"/>
              <w:rPr>
                <w:rFonts w:ascii="Times New Roman" w:hAnsi="Times New Roman"/>
                <w:color w:val="000000"/>
                <w:sz w:val="22"/>
              </w:rPr>
            </w:pPr>
            <w:r>
              <w:rPr>
                <w:rFonts w:ascii="Times New Roman" w:hAnsi="Times New Roman"/>
                <w:color w:val="000000"/>
                <w:sz w:val="22"/>
              </w:rPr>
              <w:t>03/15/2021</w:t>
            </w:r>
          </w:p>
        </w:tc>
        <w:tc>
          <w:tcPr>
            <w:tcW w:w="931"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NQ</w:t>
            </w:r>
          </w:p>
        </w:tc>
        <w:tc>
          <w:tcPr>
            <w:tcW w:w="2566"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352,683</w:t>
            </w:r>
          </w:p>
        </w:tc>
        <w:tc>
          <w:tcPr>
            <w:tcW w:w="1486"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272,931</w:t>
            </w:r>
          </w:p>
        </w:tc>
        <w:tc>
          <w:tcPr>
            <w:tcW w:w="1771"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79,752</w:t>
            </w:r>
          </w:p>
        </w:tc>
      </w:tr>
      <w:tr>
        <w:trPr/>
        <w:tc>
          <w:tcPr>
            <w:tcW w:w="1126" w:type="dxa"/>
            <w:tcBorders/>
            <w:tcMar>
              <w:top w:w="0" w:type="dxa"/>
              <w:left w:w="0" w:type="dxa"/>
              <w:bottom w:w="0" w:type="dxa"/>
              <w:right w:w="0" w:type="dxa"/>
            </w:tcMar>
            <w:vAlign w:val="center"/>
          </w:tcPr>
          <w:p>
            <w:pPr>
              <w:pStyle w:val="TableContents"/>
              <w:bidi w:val="0"/>
              <w:spacing w:before="0" w:after="144"/>
              <w:jc w:val="left"/>
              <w:rPr>
                <w:rFonts w:ascii="Times New Roman" w:hAnsi="Times New Roman"/>
                <w:color w:val="000000"/>
                <w:sz w:val="22"/>
              </w:rPr>
            </w:pPr>
            <w:r>
              <w:rPr>
                <w:rFonts w:ascii="Times New Roman" w:hAnsi="Times New Roman"/>
                <w:color w:val="000000"/>
                <w:sz w:val="22"/>
              </w:rPr>
              <w:t>021738</w:t>
            </w:r>
          </w:p>
        </w:tc>
        <w:tc>
          <w:tcPr>
            <w:tcW w:w="1231" w:type="dxa"/>
            <w:tcBorders/>
            <w:tcMar>
              <w:top w:w="0" w:type="dxa"/>
              <w:left w:w="0" w:type="dxa"/>
              <w:bottom w:w="0" w:type="dxa"/>
              <w:right w:w="0" w:type="dxa"/>
            </w:tcMar>
            <w:vAlign w:val="center"/>
          </w:tcPr>
          <w:p>
            <w:pPr>
              <w:pStyle w:val="TableContents"/>
              <w:bidi w:val="0"/>
              <w:spacing w:before="0" w:after="144"/>
              <w:jc w:val="left"/>
              <w:rPr>
                <w:rFonts w:ascii="Times New Roman" w:hAnsi="Times New Roman"/>
                <w:color w:val="000000"/>
                <w:sz w:val="22"/>
              </w:rPr>
            </w:pPr>
            <w:r>
              <w:rPr>
                <w:rFonts w:ascii="Times New Roman" w:hAnsi="Times New Roman"/>
                <w:color w:val="000000"/>
                <w:sz w:val="22"/>
              </w:rPr>
              <w:t>03/10/2022</w:t>
            </w:r>
          </w:p>
        </w:tc>
        <w:tc>
          <w:tcPr>
            <w:tcW w:w="931"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ISO</w:t>
            </w:r>
          </w:p>
        </w:tc>
        <w:tc>
          <w:tcPr>
            <w:tcW w:w="2566"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54,046</w:t>
            </w:r>
          </w:p>
        </w:tc>
        <w:tc>
          <w:tcPr>
            <w:tcW w:w="1486"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0</w:t>
            </w:r>
          </w:p>
        </w:tc>
        <w:tc>
          <w:tcPr>
            <w:tcW w:w="1771"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54,046</w:t>
            </w:r>
          </w:p>
        </w:tc>
      </w:tr>
    </w:tbl>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color w:val="000000"/>
          <w:sz w:val="24"/>
        </w:rPr>
        <w:br/>
      </w:r>
      <w:r>
        <w:rPr>
          <w:rFonts w:ascii="Times New Roman" w:hAnsi="Times New Roman"/>
          <w:color w:val="000000"/>
          <w:sz w:val="20"/>
        </w:rPr>
        <w:t> </w:t>
      </w:r>
    </w:p>
    <w:tbl>
      <w:tblPr>
        <w:tblW w:w="10205" w:type="dxa"/>
        <w:jc w:val="left"/>
        <w:tblInd w:w="0" w:type="dxa"/>
        <w:tblLayout w:type="fixed"/>
        <w:tblCellMar>
          <w:top w:w="28" w:type="dxa"/>
          <w:left w:w="28" w:type="dxa"/>
          <w:bottom w:w="28" w:type="dxa"/>
          <w:right w:w="28" w:type="dxa"/>
        </w:tblCellMar>
      </w:tblPr>
      <w:tblGrid>
        <w:gridCol w:w="841"/>
        <w:gridCol w:w="2382"/>
        <w:gridCol w:w="1026"/>
        <w:gridCol w:w="1952"/>
        <w:gridCol w:w="1952"/>
        <w:gridCol w:w="2052"/>
      </w:tblGrid>
      <w:tr>
        <w:trPr/>
        <w:tc>
          <w:tcPr>
            <w:tcW w:w="841"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144"/>
              <w:jc w:val="left"/>
              <w:rPr>
                <w:rFonts w:ascii="Times New Roman" w:hAnsi="Times New Roman"/>
                <w:color w:val="000000"/>
                <w:sz w:val="22"/>
              </w:rPr>
            </w:pPr>
            <w:r>
              <w:rPr>
                <w:rFonts w:ascii="Times New Roman" w:hAnsi="Times New Roman"/>
                <w:color w:val="000000"/>
                <w:sz w:val="22"/>
              </w:rPr>
              <w:t>021739</w:t>
            </w:r>
          </w:p>
        </w:tc>
        <w:tc>
          <w:tcPr>
            <w:tcW w:w="2382" w:type="dxa"/>
            <w:tcBorders/>
            <w:tcMar>
              <w:top w:w="0" w:type="dxa"/>
              <w:left w:w="0" w:type="dxa"/>
              <w:bottom w:w="0" w:type="dxa"/>
              <w:right w:w="0" w:type="dxa"/>
            </w:tcMar>
            <w:vAlign w:val="center"/>
          </w:tcPr>
          <w:p>
            <w:pPr>
              <w:pStyle w:val="TableContents"/>
              <w:bidi w:val="0"/>
              <w:spacing w:before="0" w:after="144"/>
              <w:jc w:val="left"/>
              <w:rPr>
                <w:rFonts w:ascii="Times New Roman" w:hAnsi="Times New Roman"/>
                <w:color w:val="000000"/>
                <w:sz w:val="22"/>
              </w:rPr>
            </w:pPr>
            <w:r>
              <w:rPr>
                <w:rFonts w:ascii="Times New Roman" w:hAnsi="Times New Roman"/>
                <w:color w:val="000000"/>
                <w:sz w:val="22"/>
              </w:rPr>
              <w:t>03/10/2022</w:t>
            </w:r>
          </w:p>
        </w:tc>
        <w:tc>
          <w:tcPr>
            <w:tcW w:w="1026"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NQ</w:t>
            </w:r>
          </w:p>
        </w:tc>
        <w:tc>
          <w:tcPr>
            <w:tcW w:w="1952"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395,954</w:t>
            </w:r>
          </w:p>
        </w:tc>
        <w:tc>
          <w:tcPr>
            <w:tcW w:w="1952"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187,500</w:t>
            </w:r>
          </w:p>
        </w:tc>
        <w:tc>
          <w:tcPr>
            <w:tcW w:w="2052"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208,454</w:t>
            </w:r>
          </w:p>
        </w:tc>
      </w:tr>
      <w:tr>
        <w:trPr/>
        <w:tc>
          <w:tcPr>
            <w:tcW w:w="841" w:type="dxa"/>
            <w:tcBorders/>
            <w:tcMar>
              <w:top w:w="0" w:type="dxa"/>
              <w:left w:w="0" w:type="dxa"/>
              <w:bottom w:w="0" w:type="dxa"/>
              <w:right w:w="0" w:type="dxa"/>
            </w:tcMar>
            <w:vAlign w:val="center"/>
          </w:tcPr>
          <w:p>
            <w:pPr>
              <w:pStyle w:val="TableContents"/>
              <w:bidi w:val="0"/>
              <w:spacing w:before="0" w:after="144"/>
              <w:jc w:val="left"/>
              <w:rPr>
                <w:rFonts w:ascii="Times New Roman" w:hAnsi="Times New Roman"/>
                <w:color w:val="000000"/>
                <w:sz w:val="22"/>
              </w:rPr>
            </w:pPr>
            <w:r>
              <w:rPr>
                <w:rFonts w:ascii="Times New Roman" w:hAnsi="Times New Roman"/>
                <w:color w:val="000000"/>
                <w:sz w:val="22"/>
              </w:rPr>
              <w:t>021839</w:t>
            </w:r>
          </w:p>
        </w:tc>
        <w:tc>
          <w:tcPr>
            <w:tcW w:w="2382" w:type="dxa"/>
            <w:tcBorders/>
            <w:tcMar>
              <w:top w:w="0" w:type="dxa"/>
              <w:left w:w="0" w:type="dxa"/>
              <w:bottom w:w="0" w:type="dxa"/>
              <w:right w:w="0" w:type="dxa"/>
            </w:tcMar>
            <w:vAlign w:val="center"/>
          </w:tcPr>
          <w:p>
            <w:pPr>
              <w:pStyle w:val="TableContents"/>
              <w:bidi w:val="0"/>
              <w:spacing w:before="0" w:after="144"/>
              <w:jc w:val="left"/>
              <w:rPr>
                <w:rFonts w:ascii="Times New Roman" w:hAnsi="Times New Roman"/>
                <w:color w:val="000000"/>
                <w:sz w:val="22"/>
              </w:rPr>
            </w:pPr>
            <w:r>
              <w:rPr>
                <w:rFonts w:ascii="Times New Roman" w:hAnsi="Times New Roman"/>
                <w:color w:val="000000"/>
                <w:sz w:val="22"/>
              </w:rPr>
              <w:t>03/09/2023</w:t>
            </w:r>
          </w:p>
        </w:tc>
        <w:tc>
          <w:tcPr>
            <w:tcW w:w="1026"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ISO</w:t>
            </w:r>
          </w:p>
        </w:tc>
        <w:tc>
          <w:tcPr>
            <w:tcW w:w="1952"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66,523</w:t>
            </w:r>
          </w:p>
        </w:tc>
        <w:tc>
          <w:tcPr>
            <w:tcW w:w="1952"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0</w:t>
            </w:r>
          </w:p>
        </w:tc>
        <w:tc>
          <w:tcPr>
            <w:tcW w:w="2052"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66,523</w:t>
            </w:r>
          </w:p>
        </w:tc>
      </w:tr>
      <w:tr>
        <w:trPr/>
        <w:tc>
          <w:tcPr>
            <w:tcW w:w="841" w:type="dxa"/>
            <w:tcBorders/>
            <w:tcMar>
              <w:top w:w="0" w:type="dxa"/>
              <w:left w:w="0" w:type="dxa"/>
              <w:bottom w:w="0" w:type="dxa"/>
              <w:right w:w="0" w:type="dxa"/>
            </w:tcMar>
            <w:vAlign w:val="center"/>
          </w:tcPr>
          <w:p>
            <w:pPr>
              <w:pStyle w:val="TableContents"/>
              <w:bidi w:val="0"/>
              <w:spacing w:before="0" w:after="144"/>
              <w:jc w:val="left"/>
              <w:rPr>
                <w:rFonts w:ascii="Times New Roman" w:hAnsi="Times New Roman"/>
                <w:color w:val="000000"/>
                <w:sz w:val="22"/>
              </w:rPr>
            </w:pPr>
            <w:r>
              <w:rPr>
                <w:rFonts w:ascii="Times New Roman" w:hAnsi="Times New Roman"/>
                <w:color w:val="000000"/>
                <w:sz w:val="22"/>
              </w:rPr>
              <w:t>021840</w:t>
            </w:r>
          </w:p>
        </w:tc>
        <w:tc>
          <w:tcPr>
            <w:tcW w:w="2382" w:type="dxa"/>
            <w:tcBorders/>
            <w:tcMar>
              <w:top w:w="0" w:type="dxa"/>
              <w:left w:w="0" w:type="dxa"/>
              <w:bottom w:w="0" w:type="dxa"/>
              <w:right w:w="0" w:type="dxa"/>
            </w:tcMar>
            <w:vAlign w:val="center"/>
          </w:tcPr>
          <w:p>
            <w:pPr>
              <w:pStyle w:val="TableContents"/>
              <w:bidi w:val="0"/>
              <w:spacing w:before="0" w:after="144"/>
              <w:jc w:val="left"/>
              <w:rPr>
                <w:rFonts w:ascii="Times New Roman" w:hAnsi="Times New Roman"/>
                <w:color w:val="000000"/>
                <w:sz w:val="22"/>
              </w:rPr>
            </w:pPr>
            <w:r>
              <w:rPr>
                <w:rFonts w:ascii="Times New Roman" w:hAnsi="Times New Roman"/>
                <w:color w:val="000000"/>
                <w:sz w:val="22"/>
              </w:rPr>
              <w:t>03/09/2023</w:t>
            </w:r>
          </w:p>
        </w:tc>
        <w:tc>
          <w:tcPr>
            <w:tcW w:w="1026"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NQ</w:t>
            </w:r>
          </w:p>
        </w:tc>
        <w:tc>
          <w:tcPr>
            <w:tcW w:w="1952"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333,477</w:t>
            </w:r>
          </w:p>
        </w:tc>
        <w:tc>
          <w:tcPr>
            <w:tcW w:w="1952"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0</w:t>
            </w:r>
          </w:p>
        </w:tc>
        <w:tc>
          <w:tcPr>
            <w:tcW w:w="2052"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333,477</w:t>
            </w:r>
          </w:p>
        </w:tc>
      </w:tr>
      <w:tr>
        <w:trPr/>
        <w:tc>
          <w:tcPr>
            <w:tcW w:w="841" w:type="dxa"/>
            <w:tcBorders/>
            <w:tcMar>
              <w:top w:w="0" w:type="dxa"/>
              <w:left w:w="0" w:type="dxa"/>
              <w:bottom w:w="0" w:type="dxa"/>
              <w:right w:w="0" w:type="dxa"/>
            </w:tcMar>
            <w:vAlign w:val="center"/>
          </w:tcPr>
          <w:p>
            <w:pPr>
              <w:pStyle w:val="TableContents"/>
              <w:bidi w:val="0"/>
              <w:spacing w:before="0" w:after="144"/>
              <w:jc w:val="left"/>
              <w:rPr>
                <w:rFonts w:ascii="Times New Roman" w:hAnsi="Times New Roman"/>
                <w:color w:val="000000"/>
                <w:sz w:val="22"/>
              </w:rPr>
            </w:pPr>
            <w:r>
              <w:rPr>
                <w:rFonts w:ascii="Times New Roman" w:hAnsi="Times New Roman"/>
                <w:color w:val="000000"/>
                <w:sz w:val="22"/>
              </w:rPr>
              <w:t>18062</w:t>
            </w:r>
          </w:p>
        </w:tc>
        <w:tc>
          <w:tcPr>
            <w:tcW w:w="2382" w:type="dxa"/>
            <w:tcBorders/>
            <w:tcMar>
              <w:top w:w="0" w:type="dxa"/>
              <w:left w:w="0" w:type="dxa"/>
              <w:bottom w:w="0" w:type="dxa"/>
              <w:right w:w="0" w:type="dxa"/>
            </w:tcMar>
            <w:vAlign w:val="center"/>
          </w:tcPr>
          <w:p>
            <w:pPr>
              <w:pStyle w:val="TableContents"/>
              <w:bidi w:val="0"/>
              <w:spacing w:before="0" w:after="144"/>
              <w:jc w:val="left"/>
              <w:rPr>
                <w:rFonts w:ascii="Times New Roman" w:hAnsi="Times New Roman"/>
                <w:color w:val="000000"/>
                <w:sz w:val="22"/>
              </w:rPr>
            </w:pPr>
            <w:r>
              <w:rPr>
                <w:rFonts w:ascii="Times New Roman" w:hAnsi="Times New Roman"/>
                <w:color w:val="000000"/>
                <w:sz w:val="22"/>
              </w:rPr>
              <w:t>02/12/2018</w:t>
            </w:r>
          </w:p>
        </w:tc>
        <w:tc>
          <w:tcPr>
            <w:tcW w:w="1026"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ISO</w:t>
            </w:r>
          </w:p>
        </w:tc>
        <w:tc>
          <w:tcPr>
            <w:tcW w:w="1952"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152,362</w:t>
            </w:r>
          </w:p>
        </w:tc>
        <w:tc>
          <w:tcPr>
            <w:tcW w:w="1952"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10,300</w:t>
            </w:r>
          </w:p>
        </w:tc>
        <w:tc>
          <w:tcPr>
            <w:tcW w:w="2052"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0</w:t>
            </w:r>
          </w:p>
        </w:tc>
      </w:tr>
      <w:tr>
        <w:trPr/>
        <w:tc>
          <w:tcPr>
            <w:tcW w:w="841" w:type="dxa"/>
            <w:tcBorders/>
            <w:tcMar>
              <w:top w:w="0" w:type="dxa"/>
              <w:left w:w="0" w:type="dxa"/>
              <w:bottom w:w="0" w:type="dxa"/>
              <w:right w:w="0" w:type="dxa"/>
            </w:tcMar>
            <w:vAlign w:val="center"/>
          </w:tcPr>
          <w:p>
            <w:pPr>
              <w:pStyle w:val="TableContents"/>
              <w:bidi w:val="0"/>
              <w:spacing w:before="0" w:after="144"/>
              <w:jc w:val="left"/>
              <w:rPr>
                <w:rFonts w:ascii="Times New Roman" w:hAnsi="Times New Roman"/>
                <w:color w:val="000000"/>
                <w:sz w:val="22"/>
              </w:rPr>
            </w:pPr>
            <w:r>
              <w:rPr>
                <w:rFonts w:ascii="Times New Roman" w:hAnsi="Times New Roman"/>
                <w:color w:val="000000"/>
                <w:sz w:val="22"/>
              </w:rPr>
              <w:t>18063</w:t>
            </w:r>
          </w:p>
        </w:tc>
        <w:tc>
          <w:tcPr>
            <w:tcW w:w="2382" w:type="dxa"/>
            <w:tcBorders/>
            <w:tcMar>
              <w:top w:w="0" w:type="dxa"/>
              <w:left w:w="0" w:type="dxa"/>
              <w:bottom w:w="0" w:type="dxa"/>
              <w:right w:w="0" w:type="dxa"/>
            </w:tcMar>
            <w:vAlign w:val="center"/>
          </w:tcPr>
          <w:p>
            <w:pPr>
              <w:pStyle w:val="TableContents"/>
              <w:bidi w:val="0"/>
              <w:spacing w:before="0" w:after="144"/>
              <w:jc w:val="left"/>
              <w:rPr>
                <w:rFonts w:ascii="Times New Roman" w:hAnsi="Times New Roman"/>
                <w:color w:val="000000"/>
                <w:sz w:val="22"/>
              </w:rPr>
            </w:pPr>
            <w:r>
              <w:rPr>
                <w:rFonts w:ascii="Times New Roman" w:hAnsi="Times New Roman"/>
                <w:color w:val="000000"/>
                <w:sz w:val="22"/>
              </w:rPr>
              <w:t>02/12/2018</w:t>
            </w:r>
          </w:p>
        </w:tc>
        <w:tc>
          <w:tcPr>
            <w:tcW w:w="1026"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NQ</w:t>
            </w:r>
          </w:p>
        </w:tc>
        <w:tc>
          <w:tcPr>
            <w:tcW w:w="1952"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94,837</w:t>
            </w:r>
          </w:p>
        </w:tc>
        <w:tc>
          <w:tcPr>
            <w:tcW w:w="1952"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0</w:t>
            </w:r>
          </w:p>
        </w:tc>
        <w:tc>
          <w:tcPr>
            <w:tcW w:w="2052"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0</w:t>
            </w:r>
          </w:p>
        </w:tc>
      </w:tr>
      <w:tr>
        <w:trPr/>
        <w:tc>
          <w:tcPr>
            <w:tcW w:w="841" w:type="dxa"/>
            <w:tcBorders/>
            <w:tcMar>
              <w:top w:w="0" w:type="dxa"/>
              <w:left w:w="0" w:type="dxa"/>
              <w:bottom w:w="0" w:type="dxa"/>
              <w:right w:w="0" w:type="dxa"/>
            </w:tcMar>
            <w:vAlign w:val="center"/>
          </w:tcPr>
          <w:p>
            <w:pPr>
              <w:pStyle w:val="TableContents"/>
              <w:bidi w:val="0"/>
              <w:spacing w:before="0" w:after="144"/>
              <w:jc w:val="left"/>
              <w:rPr>
                <w:rFonts w:ascii="Times New Roman" w:hAnsi="Times New Roman"/>
                <w:color w:val="000000"/>
                <w:sz w:val="22"/>
              </w:rPr>
            </w:pPr>
            <w:r>
              <w:rPr>
                <w:rFonts w:ascii="Times New Roman" w:hAnsi="Times New Roman"/>
                <w:color w:val="000000"/>
                <w:sz w:val="22"/>
              </w:rPr>
              <w:t>22855</w:t>
            </w:r>
          </w:p>
        </w:tc>
        <w:tc>
          <w:tcPr>
            <w:tcW w:w="2382" w:type="dxa"/>
            <w:tcBorders/>
            <w:tcMar>
              <w:top w:w="0" w:type="dxa"/>
              <w:left w:w="0" w:type="dxa"/>
              <w:bottom w:w="0" w:type="dxa"/>
              <w:right w:w="0" w:type="dxa"/>
            </w:tcMar>
            <w:vAlign w:val="center"/>
          </w:tcPr>
          <w:p>
            <w:pPr>
              <w:pStyle w:val="TableContents"/>
              <w:bidi w:val="0"/>
              <w:spacing w:before="0" w:after="144"/>
              <w:jc w:val="left"/>
              <w:rPr>
                <w:rFonts w:ascii="Times New Roman" w:hAnsi="Times New Roman"/>
                <w:color w:val="000000"/>
                <w:sz w:val="22"/>
              </w:rPr>
            </w:pPr>
            <w:r>
              <w:rPr>
                <w:rFonts w:ascii="Times New Roman" w:hAnsi="Times New Roman"/>
                <w:color w:val="000000"/>
                <w:sz w:val="22"/>
              </w:rPr>
              <w:t>02/13/2019</w:t>
            </w:r>
          </w:p>
        </w:tc>
        <w:tc>
          <w:tcPr>
            <w:tcW w:w="1026"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ISO</w:t>
            </w:r>
          </w:p>
        </w:tc>
        <w:tc>
          <w:tcPr>
            <w:tcW w:w="1952"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32,811</w:t>
            </w:r>
          </w:p>
        </w:tc>
        <w:tc>
          <w:tcPr>
            <w:tcW w:w="1952"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32,811</w:t>
            </w:r>
          </w:p>
        </w:tc>
        <w:tc>
          <w:tcPr>
            <w:tcW w:w="2052"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0</w:t>
            </w:r>
          </w:p>
        </w:tc>
      </w:tr>
      <w:tr>
        <w:trPr/>
        <w:tc>
          <w:tcPr>
            <w:tcW w:w="841" w:type="dxa"/>
            <w:tcBorders/>
            <w:tcMar>
              <w:top w:w="0" w:type="dxa"/>
              <w:left w:w="0" w:type="dxa"/>
              <w:bottom w:w="0" w:type="dxa"/>
              <w:right w:w="0" w:type="dxa"/>
            </w:tcMar>
            <w:vAlign w:val="center"/>
          </w:tcPr>
          <w:p>
            <w:pPr>
              <w:pStyle w:val="TableContents"/>
              <w:bidi w:val="0"/>
              <w:spacing w:before="0" w:after="144"/>
              <w:jc w:val="left"/>
              <w:rPr>
                <w:rFonts w:ascii="Times New Roman" w:hAnsi="Times New Roman"/>
                <w:color w:val="000000"/>
                <w:sz w:val="22"/>
              </w:rPr>
            </w:pPr>
            <w:r>
              <w:rPr>
                <w:rFonts w:ascii="Times New Roman" w:hAnsi="Times New Roman"/>
                <w:color w:val="000000"/>
                <w:sz w:val="22"/>
              </w:rPr>
              <w:t>22856</w:t>
            </w:r>
          </w:p>
        </w:tc>
        <w:tc>
          <w:tcPr>
            <w:tcW w:w="2382" w:type="dxa"/>
            <w:tcBorders/>
            <w:tcMar>
              <w:top w:w="0" w:type="dxa"/>
              <w:left w:w="0" w:type="dxa"/>
              <w:bottom w:w="0" w:type="dxa"/>
              <w:right w:w="0" w:type="dxa"/>
            </w:tcMar>
            <w:vAlign w:val="center"/>
          </w:tcPr>
          <w:p>
            <w:pPr>
              <w:pStyle w:val="TableContents"/>
              <w:bidi w:val="0"/>
              <w:spacing w:before="0" w:after="144"/>
              <w:jc w:val="left"/>
              <w:rPr>
                <w:rFonts w:ascii="Times New Roman" w:hAnsi="Times New Roman"/>
                <w:color w:val="000000"/>
                <w:sz w:val="22"/>
              </w:rPr>
            </w:pPr>
            <w:r>
              <w:rPr>
                <w:rFonts w:ascii="Times New Roman" w:hAnsi="Times New Roman"/>
                <w:color w:val="000000"/>
                <w:sz w:val="22"/>
              </w:rPr>
              <w:t>02/13/2019</w:t>
            </w:r>
          </w:p>
        </w:tc>
        <w:tc>
          <w:tcPr>
            <w:tcW w:w="1026"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NQ</w:t>
            </w:r>
          </w:p>
        </w:tc>
        <w:tc>
          <w:tcPr>
            <w:tcW w:w="1952"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79,689</w:t>
            </w:r>
          </w:p>
        </w:tc>
        <w:tc>
          <w:tcPr>
            <w:tcW w:w="1952"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0</w:t>
            </w:r>
          </w:p>
        </w:tc>
        <w:tc>
          <w:tcPr>
            <w:tcW w:w="2052" w:type="dxa"/>
            <w:tcBorders/>
            <w:tcMar>
              <w:top w:w="0" w:type="dxa"/>
              <w:left w:w="0" w:type="dxa"/>
              <w:bottom w:w="0" w:type="dxa"/>
              <w:right w:w="0" w:type="dxa"/>
            </w:tcMar>
            <w:vAlign w:val="center"/>
          </w:tcPr>
          <w:p>
            <w:pPr>
              <w:pStyle w:val="TableContents"/>
              <w:bidi w:val="0"/>
              <w:spacing w:before="0" w:after="144"/>
              <w:jc w:val="center"/>
              <w:rPr>
                <w:rFonts w:ascii="Times New Roman" w:hAnsi="Times New Roman"/>
                <w:color w:val="000000"/>
                <w:sz w:val="22"/>
              </w:rPr>
            </w:pPr>
            <w:r>
              <w:rPr>
                <w:rFonts w:ascii="Times New Roman" w:hAnsi="Times New Roman"/>
                <w:color w:val="000000"/>
                <w:sz w:val="22"/>
              </w:rPr>
              <w:t>0</w:t>
            </w:r>
          </w:p>
        </w:tc>
      </w:tr>
      <w:tr>
        <w:trPr/>
        <w:tc>
          <w:tcPr>
            <w:tcW w:w="841" w:type="dxa"/>
            <w:tcBorders/>
            <w:tcMar>
              <w:top w:w="0" w:type="dxa"/>
              <w:left w:w="0" w:type="dxa"/>
              <w:bottom w:w="0" w:type="dxa"/>
              <w:right w:w="0" w:type="dxa"/>
            </w:tcMar>
            <w:vAlign w:val="center"/>
          </w:tcPr>
          <w:p>
            <w:pPr>
              <w:pStyle w:val="TableContents"/>
              <w:bidi w:val="0"/>
              <w:spacing w:before="0" w:after="144"/>
              <w:jc w:val="left"/>
              <w:rPr/>
            </w:pPr>
            <w:r>
              <w:rPr/>
              <w:t> </w:t>
            </w:r>
          </w:p>
        </w:tc>
        <w:tc>
          <w:tcPr>
            <w:tcW w:w="2382" w:type="dxa"/>
            <w:tcBorders/>
            <w:tcMar>
              <w:top w:w="0" w:type="dxa"/>
              <w:left w:w="0" w:type="dxa"/>
              <w:bottom w:w="0" w:type="dxa"/>
              <w:right w:w="0" w:type="dxa"/>
            </w:tcMar>
            <w:vAlign w:val="center"/>
          </w:tcPr>
          <w:p>
            <w:pPr>
              <w:pStyle w:val="TableContents"/>
              <w:bidi w:val="0"/>
              <w:spacing w:before="0" w:after="144"/>
              <w:jc w:val="left"/>
              <w:rPr/>
            </w:pPr>
            <w:r>
              <w:rPr/>
              <w:t> </w:t>
            </w:r>
          </w:p>
        </w:tc>
        <w:tc>
          <w:tcPr>
            <w:tcW w:w="1026" w:type="dxa"/>
            <w:tcBorders/>
            <w:tcMar>
              <w:top w:w="0" w:type="dxa"/>
              <w:left w:w="0" w:type="dxa"/>
              <w:bottom w:w="0" w:type="dxa"/>
              <w:right w:w="0" w:type="dxa"/>
            </w:tcMar>
            <w:vAlign w:val="center"/>
          </w:tcPr>
          <w:p>
            <w:pPr>
              <w:pStyle w:val="TableContents"/>
              <w:bidi w:val="0"/>
              <w:spacing w:before="0" w:after="144"/>
              <w:jc w:val="center"/>
              <w:rPr/>
            </w:pPr>
            <w:r>
              <w:rPr/>
              <w:t> </w:t>
            </w:r>
          </w:p>
        </w:tc>
        <w:tc>
          <w:tcPr>
            <w:tcW w:w="1952" w:type="dxa"/>
            <w:tcBorders/>
            <w:tcMar>
              <w:top w:w="0" w:type="dxa"/>
              <w:left w:w="0" w:type="dxa"/>
              <w:bottom w:w="0" w:type="dxa"/>
              <w:right w:w="0" w:type="dxa"/>
            </w:tcMar>
            <w:vAlign w:val="center"/>
          </w:tcPr>
          <w:p>
            <w:pPr>
              <w:pStyle w:val="TableContents"/>
              <w:bidi w:val="0"/>
              <w:spacing w:before="0" w:after="144"/>
              <w:jc w:val="center"/>
              <w:rPr/>
            </w:pPr>
            <w:r>
              <w:rPr/>
              <w:t> </w:t>
            </w:r>
          </w:p>
        </w:tc>
        <w:tc>
          <w:tcPr>
            <w:tcW w:w="1952" w:type="dxa"/>
            <w:tcBorders/>
            <w:tcMar>
              <w:top w:w="0" w:type="dxa"/>
              <w:left w:w="0" w:type="dxa"/>
              <w:bottom w:w="0" w:type="dxa"/>
              <w:right w:w="0" w:type="dxa"/>
            </w:tcMar>
            <w:vAlign w:val="center"/>
          </w:tcPr>
          <w:p>
            <w:pPr>
              <w:pStyle w:val="TableContents"/>
              <w:bidi w:val="0"/>
              <w:spacing w:before="0" w:after="144"/>
              <w:jc w:val="center"/>
              <w:rPr/>
            </w:pPr>
            <w:r>
              <w:rPr/>
              <w:t> </w:t>
            </w:r>
          </w:p>
        </w:tc>
        <w:tc>
          <w:tcPr>
            <w:tcW w:w="2052" w:type="dxa"/>
            <w:tcBorders/>
            <w:tcMar>
              <w:top w:w="0" w:type="dxa"/>
              <w:left w:w="0" w:type="dxa"/>
              <w:bottom w:w="0" w:type="dxa"/>
              <w:right w:w="0" w:type="dxa"/>
            </w:tcMar>
            <w:vAlign w:val="center"/>
          </w:tcPr>
          <w:p>
            <w:pPr>
              <w:pStyle w:val="TableContents"/>
              <w:bidi w:val="0"/>
              <w:spacing w:before="0" w:after="144"/>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144"/>
              <w:jc w:val="right"/>
              <w:rPr>
                <w:rFonts w:ascii="Times New Roman" w:hAnsi="Times New Roman"/>
                <w:color w:val="000000"/>
                <w:sz w:val="22"/>
              </w:rPr>
            </w:pPr>
            <w:r>
              <w:rPr>
                <w:rFonts w:ascii="Times New Roman" w:hAnsi="Times New Roman"/>
                <w:color w:val="000000"/>
                <w:sz w:val="22"/>
              </w:rPr>
              <w:t>(1)</w:t>
            </w:r>
          </w:p>
        </w:tc>
        <w:tc>
          <w:tcPr>
            <w:tcW w:w="9364" w:type="dxa"/>
            <w:gridSpan w:val="5"/>
            <w:tcBorders/>
            <w:tcMar>
              <w:top w:w="0" w:type="dxa"/>
              <w:left w:w="0" w:type="dxa"/>
              <w:bottom w:w="0" w:type="dxa"/>
              <w:right w:w="0" w:type="dxa"/>
            </w:tcMar>
            <w:vAlign w:val="center"/>
          </w:tcPr>
          <w:p>
            <w:pPr>
              <w:pStyle w:val="TableContents"/>
              <w:bidi w:val="0"/>
              <w:spacing w:before="0" w:after="144"/>
              <w:jc w:val="left"/>
              <w:rPr>
                <w:rFonts w:ascii="Times New Roman" w:hAnsi="Times New Roman"/>
                <w:color w:val="000000"/>
                <w:sz w:val="22"/>
              </w:rPr>
            </w:pPr>
            <w:r>
              <w:rPr>
                <w:rFonts w:ascii="Times New Roman" w:hAnsi="Times New Roman"/>
                <w:color w:val="000000"/>
                <w:sz w:val="22"/>
              </w:rPr>
              <w:t>ISO means Incentive Stock Option and NQ means Non-Qualified Stock Option</w:t>
            </w:r>
          </w:p>
        </w:tc>
      </w:tr>
      <w:tr>
        <w:trPr/>
        <w:tc>
          <w:tcPr>
            <w:tcW w:w="841" w:type="dxa"/>
            <w:tcBorders/>
            <w:tcMar>
              <w:top w:w="0" w:type="dxa"/>
              <w:left w:w="0" w:type="dxa"/>
              <w:bottom w:w="0" w:type="dxa"/>
              <w:right w:w="0" w:type="dxa"/>
            </w:tcMar>
            <w:vAlign w:val="center"/>
          </w:tcPr>
          <w:p>
            <w:pPr>
              <w:pStyle w:val="TableContents"/>
              <w:bidi w:val="0"/>
              <w:spacing w:before="0" w:after="144"/>
              <w:jc w:val="right"/>
              <w:rPr>
                <w:rFonts w:ascii="Times New Roman" w:hAnsi="Times New Roman"/>
                <w:color w:val="000000"/>
                <w:sz w:val="22"/>
              </w:rPr>
            </w:pPr>
            <w:r>
              <w:rPr>
                <w:rFonts w:ascii="Times New Roman" w:hAnsi="Times New Roman"/>
                <w:color w:val="000000"/>
                <w:sz w:val="22"/>
              </w:rPr>
              <w:t>(2)</w:t>
            </w:r>
          </w:p>
        </w:tc>
        <w:tc>
          <w:tcPr>
            <w:tcW w:w="9364" w:type="dxa"/>
            <w:gridSpan w:val="5"/>
            <w:tcBorders/>
            <w:tcMar>
              <w:top w:w="0" w:type="dxa"/>
              <w:left w:w="0" w:type="dxa"/>
              <w:bottom w:w="0" w:type="dxa"/>
              <w:right w:w="0" w:type="dxa"/>
            </w:tcMar>
            <w:vAlign w:val="center"/>
          </w:tcPr>
          <w:p>
            <w:pPr>
              <w:pStyle w:val="TableContents"/>
              <w:bidi w:val="0"/>
              <w:spacing w:before="0" w:after="144"/>
              <w:jc w:val="left"/>
              <w:rPr>
                <w:rFonts w:ascii="Times New Roman" w:hAnsi="Times New Roman"/>
                <w:color w:val="000000"/>
                <w:sz w:val="22"/>
              </w:rPr>
            </w:pPr>
            <w:r>
              <w:rPr>
                <w:rFonts w:ascii="Times New Roman" w:hAnsi="Times New Roman"/>
                <w:color w:val="000000"/>
                <w:sz w:val="22"/>
              </w:rPr>
              <w:t>Refers to the aggregate number of common shares of the Company subject to the applicable Subject Option regardless of vesting status.</w:t>
            </w:r>
          </w:p>
        </w:tc>
      </w:tr>
    </w:tbl>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pPr>
      <w:r>
        <w:rPr>
          <w:rFonts w:ascii="Times New Roman" w:hAnsi="Times New Roman"/>
          <w:b/>
          <w:color w:val="000000"/>
          <w:sz w:val="22"/>
        </w:rPr>
        <w:t>Post-Termination of Service Exercise Period</w:t>
      </w:r>
      <w:r>
        <w:rPr>
          <w:rFonts w:ascii="Times New Roman" w:hAnsi="Times New Roman"/>
          <w:color w:val="000000"/>
          <w:sz w:val="22"/>
        </w:rPr>
        <w:t>. Notwithstanding the termination of Dr. Hogge’s Continuous Service that occurred as of the Separation Date in accordance with the Separation and Consulting Agreement, to the extent the Subject Options were vested as of the Separation Date, the Administrator has approved extensions of the time within which a percentage of the Subject Options may be exercised. Accordingly, Section 2(b)(ii) of each of the Stock Option Agreements is hereby amended to read as follows:</w:t>
      </w:r>
    </w:p>
    <w:p>
      <w:pPr>
        <w:pStyle w:val="TextBody"/>
        <w:bidi w:val="0"/>
        <w:spacing w:before="0" w:after="240"/>
        <w:jc w:val="both"/>
        <w:rPr>
          <w:color w:val="000000"/>
        </w:rPr>
      </w:pPr>
      <w:r>
        <w:rPr>
          <w:color w:val="000000"/>
        </w:rPr>
        <w:t>“</w:t>
      </w:r>
      <w:r>
        <w:rPr>
          <w:rFonts w:ascii="Times New Roman" w:hAnsi="Times New Roman"/>
          <w:color w:val="000000"/>
          <w:sz w:val="22"/>
        </w:rPr>
        <w:t>(ii) 25% of the number of common shares identified in the “Unexercised Vested Shares” column of the table in Section 2 of the Amendment To Stock Option Agreements made and entered into as of December 4, 2023, by and between the Company and Participant (the “Amendment to Stock Options”) of each of the Subject Options (as such term is defined in the Amendment to Stock Options) shall expire on each of March 31, 2024, April 30, 2024, May 31, 2024 and June 30, 2024;”</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the avoidance of doubt, nothing herein shall be deemed to extend the final expiration date set forth in any Stock Option Grant Notice for any of the Subject Options.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pPr>
      <w:r>
        <w:rPr>
          <w:rFonts w:ascii="Times New Roman" w:hAnsi="Times New Roman"/>
          <w:b/>
          <w:color w:val="000000"/>
          <w:sz w:val="22"/>
        </w:rPr>
        <w:t>Forfeiture of Unvested Shares and Equity Awards</w:t>
      </w:r>
      <w:r>
        <w:rPr>
          <w:rFonts w:ascii="Times New Roman" w:hAnsi="Times New Roman"/>
          <w:color w:val="000000"/>
          <w:sz w:val="22"/>
        </w:rPr>
        <w:t>. Notwithstanding anything to the contrary herein, the Company and Dr. Hogge agree that, as of the Separation Date, (i) all common shares identified in the “Unvested Shares” column of the table in Section 2 hereof (the “</w:t>
      </w:r>
      <w:r>
        <w:rPr>
          <w:rFonts w:ascii="Times New Roman" w:hAnsi="Times New Roman"/>
          <w:b/>
          <w:i/>
          <w:color w:val="000000"/>
          <w:sz w:val="22"/>
        </w:rPr>
        <w:t>Unvested</w:t>
      </w:r>
      <w:r>
        <w:rPr>
          <w:color w:val="000000"/>
        </w:rPr>
        <w:t xml:space="preserve"> </w:t>
      </w:r>
      <w:r>
        <w:rPr>
          <w:rFonts w:ascii="Times New Roman" w:hAnsi="Times New Roman"/>
          <w:b/>
          <w:i/>
          <w:color w:val="000000"/>
          <w:sz w:val="22"/>
        </w:rPr>
        <w:t>Shares</w:t>
      </w:r>
      <w:r>
        <w:rPr>
          <w:color w:val="000000"/>
        </w:rPr>
        <w:t>”</w:t>
      </w:r>
      <w:r>
        <w:rPr>
          <w:rFonts w:ascii="Times New Roman" w:hAnsi="Times New Roman"/>
          <w:color w:val="000000"/>
          <w:sz w:val="22"/>
        </w:rPr>
        <w:t>) are deemed cancelled, that the applicable Subject Option is deemed to have expired, unexercised with respect to the Unvested Shares, and from and after the Separation Date, Dr. Hogge has no right, title or interest in any Unvested Shares; and (ii) other than the Subject Options addressed in Section 2 hereof, all other equity awards granted to Dr. Hogge (including, without limitation, that certain restricted stock unit and performance stock unit granted on February 11, 2022 covering an aggregate of 52,081 common shares and 52,083 common shares, respectively) are terminated, expired and/or forfeited, and Dr. Hogge has no right, title or interest in any such equity awards.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pPr>
      <w:r>
        <w:rPr>
          <w:rFonts w:ascii="Times New Roman" w:hAnsi="Times New Roman"/>
          <w:b/>
          <w:color w:val="000000"/>
          <w:sz w:val="22"/>
        </w:rPr>
        <w:t>Limitation on Transactions in Common Shares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5.1</w:t>
      </w:r>
    </w:p>
    <w:p>
      <w:pPr>
        <w:pStyle w:val="TextBody"/>
        <w:bidi w:val="0"/>
        <w:spacing w:before="0" w:after="240"/>
        <w:jc w:val="both"/>
        <w:rPr/>
      </w:pPr>
      <w:r>
        <w:rPr>
          <w:rFonts w:ascii="Times New Roman" w:hAnsi="Times New Roman"/>
          <w:color w:val="000000"/>
          <w:sz w:val="22"/>
        </w:rPr>
        <w:t>During the period commencing on the Amendment Date and through and including June 30, 2024 (the “</w:t>
      </w:r>
      <w:r>
        <w:rPr>
          <w:rFonts w:ascii="Times New Roman" w:hAnsi="Times New Roman"/>
          <w:b/>
          <w:i/>
          <w:color w:val="000000"/>
          <w:sz w:val="22"/>
        </w:rPr>
        <w:t>Lock-Up</w:t>
      </w:r>
      <w:r>
        <w:rPr>
          <w:color w:val="000000"/>
        </w:rPr>
        <w:t xml:space="preserve"> </w:t>
      </w:r>
      <w:r>
        <w:rPr>
          <w:rFonts w:ascii="Times New Roman" w:hAnsi="Times New Roman"/>
          <w:b/>
          <w:i/>
          <w:color w:val="000000"/>
          <w:sz w:val="22"/>
        </w:rPr>
        <w:t>Period</w:t>
      </w:r>
      <w:r>
        <w:rPr>
          <w:color w:val="000000"/>
        </w:rPr>
        <w:t>”</w:t>
      </w:r>
      <w:r>
        <w:rPr>
          <w:rFonts w:ascii="Times New Roman" w:hAnsi="Times New Roman"/>
          <w:color w:val="000000"/>
          <w:sz w:val="22"/>
        </w:rPr>
        <w:t xml:space="preserve">), Dr. Hogge hereby agrees not to: (i) sell, offer to sell, contract or agree to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color w:val="000000"/>
          <w:sz w:val="24"/>
        </w:rPr>
        <w:br/>
      </w:r>
      <w:r>
        <w:rPr>
          <w:rFonts w:ascii="Times New Roman" w:hAnsi="Times New Roman"/>
          <w:color w:val="000000"/>
          <w:sz w:val="20"/>
        </w:rPr>
        <w:t> </w:t>
      </w:r>
    </w:p>
    <w:p>
      <w:pPr>
        <w:pStyle w:val="TextBody"/>
        <w:bidi w:val="0"/>
        <w:spacing w:before="0" w:after="240"/>
        <w:jc w:val="both"/>
        <w:rPr/>
      </w:pPr>
      <w:r>
        <w:rPr>
          <w:rFonts w:ascii="Times New Roman" w:hAnsi="Times New Roman"/>
          <w:color w:val="000000"/>
          <w:sz w:val="22"/>
        </w:rPr>
        <w:t>sell, hypothecate, pledge, grant any option to purchase, otherwise dispose of or agree to dispose of, directly or indirectly, more than 20,000 common shares of the Company per calendar day (subject to adjustment in accordance with Section 5.4), (ii) make any short sale with respect to the common shares of the Company, (iii) enter into any swap or hedging or other arrangement (including any short sale or the purchase or sale of, or entry into, any put or call option, or combination thereof, forward or any other derivative transaction or instrument, however described or defined, or other transaction) which is designed or intended to or which reasonably could be expected to lead to or result in a sale or disposition of more than 20,000 common shares of the Company per calendar day (subject to adjustment in accordance with Section 5.4), or that transfers to another, in whole or in part, any of the economic consequences of ownership of any such common shares, even if any such sale or disposition transaction or transactions would be made or executed by or on behalf of someone other than Dr. Hogge, whether any such transaction described in clauses (i), (ii) or (iii) above is to be settled by delivery of such securities, in cash or otherwise; or (iv) otherwise publicly announce any intention to engage in any of the foregoing (any of the foregoing described in clauses (i) through (iv), a “</w:t>
      </w:r>
      <w:r>
        <w:rPr>
          <w:rFonts w:ascii="Times New Roman" w:hAnsi="Times New Roman"/>
          <w:b/>
          <w:i/>
          <w:color w:val="000000"/>
          <w:sz w:val="22"/>
        </w:rPr>
        <w:t>Prohibited Transfer</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5.2</w:t>
      </w:r>
    </w:p>
    <w:p>
      <w:pPr>
        <w:pStyle w:val="TextBody"/>
        <w:bidi w:val="0"/>
        <w:spacing w:before="0" w:after="240"/>
        <w:jc w:val="both"/>
        <w:rPr/>
      </w:pPr>
      <w:r>
        <w:rPr>
          <w:rFonts w:ascii="Times New Roman" w:hAnsi="Times New Roman"/>
          <w:color w:val="000000"/>
          <w:sz w:val="22"/>
        </w:rPr>
        <w:t xml:space="preserve">If any Prohibited Transfer is made or attempted contrary to the provisions of this Amendment, such purported Prohibited Transfer shall be null and void </w:t>
      </w:r>
      <w:r>
        <w:rPr>
          <w:rFonts w:ascii="Times New Roman" w:hAnsi="Times New Roman"/>
          <w:i/>
          <w:color w:val="000000"/>
          <w:sz w:val="22"/>
        </w:rPr>
        <w:t>ab initio</w:t>
      </w:r>
      <w:r>
        <w:rPr>
          <w:rFonts w:ascii="Times New Roman" w:hAnsi="Times New Roman"/>
          <w:color w:val="000000"/>
          <w:sz w:val="22"/>
        </w:rPr>
        <w:t>, and the Company shall have the right to refuse to recognize any such purported transferee of the common shares of the Company as one of its equity holders for any purpose. In order to enforce the provisions of this Section 5, the Company may impose stop-transfer instructions with respect to any common shares beneficially owned by Dr. Hogge (and permitted transferees and assigns thereof) until the end of the Lock-Up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During the Lock-Up Period, the Company shall have the right to mark each certificate or book-entry position evidencing common shares beneficially owned by Dr. Hogge with a legend in substantially the following form, in addition to any other applicable legends:</w:t>
      </w:r>
    </w:p>
    <w:p>
      <w:pPr>
        <w:pStyle w:val="TextBody"/>
        <w:bidi w:val="0"/>
        <w:spacing w:before="0" w:after="240"/>
        <w:jc w:val="both"/>
        <w:rPr>
          <w:color w:val="000000"/>
        </w:rPr>
      </w:pPr>
      <w:r>
        <w:rPr>
          <w:color w:val="000000"/>
        </w:rPr>
        <w:t>“</w:t>
      </w:r>
      <w:r>
        <w:rPr>
          <w:rFonts w:ascii="Times New Roman" w:hAnsi="Times New Roman"/>
          <w:color w:val="000000"/>
          <w:sz w:val="22"/>
        </w:rPr>
        <w:t>THE SECURITIES REPRESENTED HEREBY ARE SUBJECT TO RESTRICTIONS ON TRANSFER SET FORTH IN AN AGREEMENT BY AND BETWEEN THE ISSUER OF SUCH SECURITIES AND THE HOLDER OF THE SHARES. A COPY OF SUCH AGREEMENT WILL BE FURNISHED WITHOUT CHARGE BY THE ISSUER TO THE HOLDER HEREOF UPON WRITTEN REQUEST.”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5.4</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event of changes in the outstanding common shares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during the Lock-Up Period, the 20,000 common shares referenced in Section 5.1 will be equitably adjusted as to the number of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w:t>
      </w:r>
    </w:p>
    <w:p>
      <w:pPr>
        <w:pStyle w:val="TextBody"/>
        <w:bidi w:val="0"/>
        <w:spacing w:before="0" w:after="240"/>
        <w:jc w:val="both"/>
        <w:rPr/>
      </w:pPr>
      <w:r>
        <w:rPr>
          <w:rFonts w:ascii="Times New Roman" w:hAnsi="Times New Roman"/>
          <w:b/>
          <w:color w:val="000000"/>
          <w:sz w:val="22"/>
        </w:rPr>
        <w:t>Acknowledgements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Dr. Hogge understands and agrees that to the extent any Subject Option qualified as an Incentive Stock Option, such Subject Option will cease to so qualify in accordance with applicable law;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Dr. Hogge understands and agrees that the Company will not be responsible for any adverse or unexpected tax consequences imposed by Internal Revenue Code Sections 280G, 409A or 422 or any other law or regulation, and that Dr. Hogge will be solely responsible for any tax liability imposed on Dr. Hogge as a result of this Amendment or the impact on the Options resulting from this Amendment;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Dr. Hogge understands and agrees that neither the Plans, nor any of the Option Agreements or this Amendment imposes any obligation on the Company to continue any business relationship with the Dr. Hogge, including under the Separation and Consulting Agreement.</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color w:val="000000"/>
          <w:sz w:val="24"/>
        </w:rPr>
        <w:br/>
      </w:r>
      <w:r>
        <w:rPr>
          <w:rFonts w:ascii="Times New Roman" w:hAnsi="Times New Roman"/>
          <w:color w:val="000000"/>
          <w:sz w:val="20"/>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w:t>
      </w:r>
    </w:p>
    <w:p>
      <w:pPr>
        <w:pStyle w:val="TextBody"/>
        <w:bidi w:val="0"/>
        <w:spacing w:before="0" w:after="240"/>
        <w:jc w:val="both"/>
        <w:rPr/>
      </w:pPr>
      <w:r>
        <w:rPr>
          <w:rFonts w:ascii="Times New Roman" w:hAnsi="Times New Roman"/>
          <w:b/>
          <w:color w:val="000000"/>
          <w:sz w:val="22"/>
        </w:rPr>
        <w:t>No Other Amendments</w:t>
      </w:r>
      <w:r>
        <w:rPr>
          <w:rFonts w:ascii="Times New Roman" w:hAnsi="Times New Roman"/>
          <w:color w:val="000000"/>
          <w:sz w:val="22"/>
        </w:rPr>
        <w:t xml:space="preserve">. Except as specifically modified by this Amendment, the terms of the Option Agreements are and will remain in full force and effect and, except as expressly provided herein, nothing in this Amendment will be construed as a waiver of any of the rights or obligations of the Company or Dr. Hogge under the Option Agreements.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w:t>
      </w:r>
    </w:p>
    <w:p>
      <w:pPr>
        <w:pStyle w:val="TextBody"/>
        <w:bidi w:val="0"/>
        <w:spacing w:before="0" w:after="240"/>
        <w:jc w:val="both"/>
        <w:rPr/>
      </w:pPr>
      <w:r>
        <w:rPr>
          <w:rFonts w:ascii="Times New Roman" w:hAnsi="Times New Roman"/>
          <w:b/>
          <w:color w:val="000000"/>
          <w:sz w:val="22"/>
        </w:rPr>
        <w:t>Counterparts</w:t>
      </w:r>
      <w:r>
        <w:rPr>
          <w:rFonts w:ascii="Times New Roman" w:hAnsi="Times New Roman"/>
          <w:color w:val="000000"/>
          <w:sz w:val="22"/>
        </w:rPr>
        <w:t>. This Amendment may be executed in one or more counterparts, each of which shall be deemed to be an original but all of which together shall constitute one and the same instrument. This Amendment may be executed by facsimile, DocuSign</w:t>
      </w:r>
      <w:r>
        <w:rPr>
          <w:rFonts w:ascii="Times New Roman" w:hAnsi="Times New Roman"/>
          <w:color w:val="000000"/>
          <w:sz w:val="15"/>
        </w:rPr>
        <w:t>®</w:t>
      </w:r>
      <w:r>
        <w:rPr>
          <w:color w:val="000000"/>
        </w:rPr>
        <w:t xml:space="preserve"> </w:t>
      </w:r>
      <w:r>
        <w:rPr>
          <w:rFonts w:ascii="Times New Roman" w:hAnsi="Times New Roman"/>
          <w:color w:val="000000"/>
          <w:sz w:val="22"/>
        </w:rPr>
        <w:t>or by email exchange of a portable document format (“</w:t>
      </w:r>
      <w:r>
        <w:rPr>
          <w:rFonts w:ascii="Times New Roman" w:hAnsi="Times New Roman"/>
          <w:b/>
          <w:i/>
          <w:color w:val="000000"/>
          <w:sz w:val="22"/>
        </w:rPr>
        <w:t>pdf</w:t>
      </w:r>
      <w:r>
        <w:rPr>
          <w:color w:val="000000"/>
        </w:rPr>
        <w:t>”</w:t>
      </w:r>
      <w:r>
        <w:rPr>
          <w:rFonts w:ascii="Times New Roman" w:hAnsi="Times New Roman"/>
          <w:color w:val="000000"/>
          <w:sz w:val="22"/>
        </w:rPr>
        <w:t>) data file, where such signature shall be valid and binding with the same force and effect as if it were an original signature.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w:t>
      </w:r>
    </w:p>
    <w:p>
      <w:pPr>
        <w:pStyle w:val="TextBody"/>
        <w:bidi w:val="0"/>
        <w:spacing w:before="0" w:after="240"/>
        <w:jc w:val="both"/>
        <w:rPr/>
      </w:pPr>
      <w:r>
        <w:rPr>
          <w:rFonts w:ascii="Times New Roman" w:hAnsi="Times New Roman"/>
          <w:b/>
          <w:color w:val="000000"/>
          <w:sz w:val="22"/>
        </w:rPr>
        <w:t>Plans Controls</w:t>
      </w:r>
      <w:r>
        <w:rPr>
          <w:rFonts w:ascii="Times New Roman" w:hAnsi="Times New Roman"/>
          <w:color w:val="000000"/>
          <w:sz w:val="22"/>
        </w:rPr>
        <w:t>. This Amendment is made under and subject to the provisions of the Plans.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w:t>
      </w:r>
    </w:p>
    <w:p>
      <w:pPr>
        <w:pStyle w:val="TextBody"/>
        <w:bidi w:val="0"/>
        <w:spacing w:before="0" w:after="240"/>
        <w:jc w:val="both"/>
        <w:rPr/>
      </w:pPr>
      <w:r>
        <w:rPr>
          <w:rFonts w:ascii="Times New Roman" w:hAnsi="Times New Roman"/>
          <w:b/>
          <w:color w:val="000000"/>
          <w:sz w:val="22"/>
        </w:rPr>
        <w:t>Entire Agreement</w:t>
      </w:r>
      <w:r>
        <w:rPr>
          <w:rFonts w:ascii="Times New Roman" w:hAnsi="Times New Roman"/>
          <w:color w:val="000000"/>
          <w:sz w:val="22"/>
        </w:rPr>
        <w:t xml:space="preserve">. This Amendment, the Option Agreements and the Plans contain the entire understanding and agreement of the Company and Dr. Hogge concerning the subject matter hereof, and collectively supersede any other agreement or understandings, written or oral, between the parties with respect thereto.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w:t>
      </w:r>
    </w:p>
    <w:p>
      <w:pPr>
        <w:pStyle w:val="TextBody"/>
        <w:bidi w:val="0"/>
        <w:spacing w:before="0" w:after="240"/>
        <w:jc w:val="both"/>
        <w:rPr/>
      </w:pPr>
      <w:r>
        <w:rPr>
          <w:rFonts w:ascii="Times New Roman" w:hAnsi="Times New Roman"/>
          <w:b/>
          <w:color w:val="000000"/>
          <w:sz w:val="22"/>
        </w:rPr>
        <w:t>Governing Law</w:t>
      </w:r>
      <w:r>
        <w:rPr>
          <w:rFonts w:ascii="Times New Roman" w:hAnsi="Times New Roman"/>
          <w:color w:val="000000"/>
          <w:sz w:val="22"/>
        </w:rPr>
        <w:t xml:space="preserve">. This Amendment and the rights of all persons claiming hereunder will be construed and determined in accordance with the laws of the State of California without giving effect to the conflict of law principles thereof.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w:t>
      </w:r>
    </w:p>
    <w:p>
      <w:pPr>
        <w:pStyle w:val="TextBody"/>
        <w:bidi w:val="0"/>
        <w:spacing w:before="0" w:after="240"/>
        <w:jc w:val="both"/>
        <w:rPr/>
      </w:pPr>
      <w:r>
        <w:rPr>
          <w:rFonts w:ascii="Times New Roman" w:hAnsi="Times New Roman"/>
          <w:b/>
          <w:color w:val="000000"/>
          <w:sz w:val="22"/>
        </w:rPr>
        <w:t>Interpretation</w:t>
      </w:r>
      <w:r>
        <w:rPr>
          <w:rFonts w:ascii="Times New Roman" w:hAnsi="Times New Roman"/>
          <w:color w:val="000000"/>
          <w:sz w:val="22"/>
        </w:rPr>
        <w:t>. The headings, titles and subtitles set forth in this Amendment are for reference purposes only and shall not affect in any way the meaning or interpretation of this Amendment. Except when the context requires otherwise, any reference in this Amendment to any Section or clause shall be to the Sections and clauses of this Amendment. The words “herein,” “hereto,” “hereof” and “hereby” and other words of similar import in this Amendment shall be deemed in each case to refer to this Amendment as a whole and not to any particular section or other subdivision of this Amendment. The term “or” means “and/or”. The words “include,” “includes” and “including” are deemed to be followed by the phrase “without limitation”. Reference to any person includes such person’s successors and assigns to the extent such successors and assigns are permitted by the terms of any applicable agreement, and reference to a person in a particular capacity excludes such person in any other capacity or individually. Reference to any agreement (including this Amendment), document or instrument means such agreement, document or instrument as amended or modified and in effect from time to time in accordance with the terms thereof and, if applicable, the terms hereof. Reference to any law means such law as amended, modified, codified, replaced or re-enacted, in whole or in part, including rules, regulations, enforcement procedures and any interpretations promulgated thereunder, all as in effect on the date of this Amendment. Any reference to the masculine, feminine or neuter gender shall include such other genders and any reference to the singular or plural shall include the other, in each case unless the context otherwise requires.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13.</w:t>
      </w:r>
    </w:p>
    <w:p>
      <w:pPr>
        <w:pStyle w:val="TextBody"/>
        <w:bidi w:val="0"/>
        <w:spacing w:before="0" w:after="240"/>
        <w:jc w:val="both"/>
        <w:rPr/>
      </w:pPr>
      <w:r>
        <w:rPr>
          <w:rFonts w:ascii="Times New Roman" w:hAnsi="Times New Roman"/>
          <w:b/>
          <w:color w:val="000000"/>
          <w:sz w:val="22"/>
        </w:rPr>
        <w:t>No Presumption Against Drafting Party</w:t>
      </w:r>
      <w:r>
        <w:rPr>
          <w:rFonts w:ascii="Times New Roman" w:hAnsi="Times New Roman"/>
          <w:color w:val="000000"/>
          <w:sz w:val="22"/>
        </w:rPr>
        <w:t>. Each of the parties acknowledges that it has participated jointly in the negotiation and drafting of this Amendment and has been represented by counsel, or the opportunity to be represented by counsel, in connection with this Amendment and the transactions contemplated hereby. Accordingly, any rule of law or any legal decision that would require interpretation of any claimed ambiguities in this Amendment against the drafting party has no application and is expressly waived.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14.</w:t>
      </w:r>
    </w:p>
    <w:p>
      <w:pPr>
        <w:pStyle w:val="TextBody"/>
        <w:bidi w:val="0"/>
        <w:spacing w:before="0" w:after="240"/>
        <w:jc w:val="both"/>
        <w:rPr/>
      </w:pPr>
      <w:r>
        <w:rPr>
          <w:rFonts w:ascii="Times New Roman" w:hAnsi="Times New Roman"/>
          <w:b/>
          <w:color w:val="000000"/>
          <w:sz w:val="22"/>
        </w:rPr>
        <w:t>Specific Performance</w:t>
      </w:r>
      <w:r>
        <w:rPr>
          <w:rFonts w:ascii="Times New Roman" w:hAnsi="Times New Roman"/>
          <w:color w:val="000000"/>
          <w:sz w:val="22"/>
        </w:rPr>
        <w:t xml:space="preserve">. The parties agree that irreparable damage would occur in the event that any of the provisions of this Amendment were not performed in accordance with their specific terms or were otherwise breached. It is accordingly agreed that the Company shall be entitled to an injunction or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color w:val="000000"/>
          <w:sz w:val="24"/>
        </w:rPr>
        <w:br/>
      </w:r>
      <w:r>
        <w:rPr>
          <w:rFonts w:ascii="Times New Roman" w:hAnsi="Times New Roman"/>
          <w:color w:val="000000"/>
          <w:sz w:val="20"/>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injunctions to prevent breaches of this Amendment by Dr. Hogge and to enforce specifically the terms and provisions 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w:t>
      </w:r>
    </w:p>
    <w:p>
      <w:pPr>
        <w:pStyle w:val="TextBody"/>
        <w:bidi w:val="0"/>
        <w:spacing w:before="0" w:after="240"/>
        <w:jc w:val="both"/>
        <w:rPr/>
      </w:pPr>
      <w:r>
        <w:rPr>
          <w:rFonts w:ascii="Times New Roman" w:hAnsi="Times New Roman"/>
          <w:b/>
          <w:color w:val="000000"/>
          <w:sz w:val="22"/>
        </w:rPr>
        <w:t>Further Assurances</w:t>
      </w:r>
      <w:r>
        <w:rPr>
          <w:rFonts w:ascii="Times New Roman" w:hAnsi="Times New Roman"/>
          <w:color w:val="000000"/>
          <w:sz w:val="22"/>
        </w:rPr>
        <w:t>. From time to time, at another party’s request and without further consideration, each party shall execute and deliver such additional documents and take all such further action as may be reasonably necessary to consummate the transactions contemplated by this Amendment.</w:t>
      </w:r>
    </w:p>
    <w:p>
      <w:pPr>
        <w:pStyle w:val="TextBody"/>
        <w:bidi w:val="0"/>
        <w:spacing w:before="0" w:after="24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Balance of Page Intentionally Left Blank</w:t>
      </w:r>
      <w:r>
        <w:rPr>
          <w:rFonts w:ascii="Times New Roman" w:hAnsi="Times New Roman"/>
          <w:color w:val="000000"/>
          <w:sz w:val="22"/>
        </w:rPr>
        <w:t>]</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IN WITNESS WHEREOF, the undersigned have executed this Amendment as of the Amendment Date.</w:t>
      </w:r>
      <w:r>
        <w:rPr>
          <w:rFonts w:ascii="Times New Roman" w:hAnsi="Times New Roman"/>
          <w:color w:val="000000"/>
          <w:sz w:val="20"/>
        </w:rPr>
        <w:t xml:space="preserve"> </w:t>
      </w:r>
    </w:p>
    <w:tbl>
      <w:tblPr>
        <w:tblW w:w="6966" w:type="dxa"/>
        <w:jc w:val="left"/>
        <w:tblInd w:w="0" w:type="dxa"/>
        <w:tblLayout w:type="fixed"/>
        <w:tblCellMar>
          <w:top w:w="28" w:type="dxa"/>
          <w:left w:w="28" w:type="dxa"/>
          <w:bottom w:w="28" w:type="dxa"/>
          <w:right w:w="28" w:type="dxa"/>
        </w:tblCellMar>
      </w:tblPr>
      <w:tblGrid>
        <w:gridCol w:w="2476"/>
        <w:gridCol w:w="109"/>
        <w:gridCol w:w="4381"/>
      </w:tblGrid>
      <w:tr>
        <w:trPr/>
        <w:tc>
          <w:tcPr>
            <w:tcW w:w="2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6" w:space="0" w:color="000000"/>
            </w:tcBorders>
            <w:tcMar>
              <w:top w:w="0" w:type="dxa"/>
              <w:left w:w="0" w:type="dxa"/>
              <w:right w:w="0" w:type="dxa"/>
            </w:tcMar>
            <w:vAlign w:val="center"/>
          </w:tcPr>
          <w:p>
            <w:pPr>
              <w:pStyle w:val="TableContents"/>
              <w:bidi w:val="0"/>
              <w:spacing w:before="0" w:after="240"/>
              <w:jc w:val="left"/>
              <w:rPr>
                <w:color w:val="000000"/>
              </w:rPr>
            </w:pPr>
            <w:r>
              <w:rPr>
                <w:color w:val="000000"/>
              </w:rPr>
              <w:t> </w:t>
            </w:r>
            <w:r>
              <w:rPr>
                <w:rFonts w:ascii="Times New Roman" w:hAnsi="Times New Roman"/>
                <w:b/>
                <w:color w:val="000000"/>
                <w:sz w:val="22"/>
              </w:rPr>
              <w:t>DR. GARY S. HOGGE</w:t>
            </w:r>
          </w:p>
          <w:p>
            <w:pPr>
              <w:pStyle w:val="TableContents"/>
              <w:bidi w:val="0"/>
              <w:spacing w:before="0" w:after="240"/>
              <w:jc w:val="left"/>
              <w:rPr>
                <w:rFonts w:ascii="Times New Roman" w:hAnsi="Times New Roman"/>
                <w:i/>
                <w:color w:val="000000"/>
                <w:sz w:val="22"/>
              </w:rPr>
            </w:pPr>
            <w:r>
              <w:rPr>
                <w:rFonts w:ascii="Times New Roman" w:hAnsi="Times New Roman"/>
                <w:i/>
                <w:color w:val="000000"/>
                <w:sz w:val="22"/>
              </w:rPr>
              <w:t>/s/ Gary S. Hogge</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81" w:type="dxa"/>
            <w:tcBorders>
              <w:bottom w:val="single" w:sz="6" w:space="0" w:color="000000"/>
            </w:tcBorders>
            <w:tcMar>
              <w:top w:w="0" w:type="dxa"/>
              <w:left w:w="0" w:type="dxa"/>
              <w:right w:w="0" w:type="dxa"/>
            </w:tcMar>
            <w:vAlign w:val="center"/>
          </w:tcPr>
          <w:p>
            <w:pPr>
              <w:pStyle w:val="TableContents"/>
              <w:bidi w:val="0"/>
              <w:spacing w:before="0" w:after="240"/>
              <w:jc w:val="left"/>
              <w:rPr>
                <w:rFonts w:ascii="Times New Roman" w:hAnsi="Times New Roman"/>
                <w:sz w:val="22"/>
              </w:rPr>
            </w:pPr>
            <w:r>
              <w:rPr>
                <w:rFonts w:ascii="Times New Roman" w:hAnsi="Times New Roman"/>
                <w:b/>
                <w:color w:val="000000"/>
                <w:sz w:val="22"/>
              </w:rPr>
              <w:t>LINEAGE CELL THERAPEUTICS, INC.</w:t>
            </w:r>
            <w:r>
              <w:rPr>
                <w:rFonts w:ascii="Times New Roman" w:hAnsi="Times New Roman"/>
                <w:color w:val="000000"/>
                <w:sz w:val="22"/>
              </w:rPr>
              <w:t xml:space="preserve"> </w:t>
            </w:r>
          </w:p>
          <w:p>
            <w:pPr>
              <w:pStyle w:val="TableContents"/>
              <w:bidi w:val="0"/>
              <w:spacing w:before="0" w:after="240"/>
              <w:jc w:val="left"/>
              <w:rPr>
                <w:rFonts w:ascii="Times New Roman" w:hAnsi="Times New Roman"/>
                <w:i/>
                <w:color w:val="000000"/>
                <w:sz w:val="22"/>
              </w:rPr>
            </w:pPr>
            <w:r>
              <w:rPr>
                <w:rFonts w:ascii="Times New Roman" w:hAnsi="Times New Roman"/>
                <w:i/>
                <w:color w:val="000000"/>
                <w:sz w:val="22"/>
              </w:rPr>
              <w:t>/s/Brian M. Culley</w:t>
            </w:r>
          </w:p>
        </w:tc>
      </w:tr>
      <w:tr>
        <w:trPr/>
        <w:tc>
          <w:tcPr>
            <w:tcW w:w="2476" w:type="dxa"/>
            <w:tcBorders/>
            <w:vAlign w:val="center"/>
          </w:tcPr>
          <w:p>
            <w:pPr>
              <w:pStyle w:val="TableContents"/>
              <w:bidi w:val="0"/>
              <w:spacing w:before="0" w:after="240"/>
              <w:jc w:val="left"/>
              <w:rPr>
                <w:color w:val="000000"/>
              </w:rPr>
            </w:pPr>
            <w:r>
              <w:rPr>
                <w:color w:val="000000"/>
              </w:rPr>
              <w:t> </w:t>
            </w:r>
            <w:r>
              <w:rPr>
                <w:rFonts w:ascii="Times New Roman" w:hAnsi="Times New Roman"/>
                <w:color w:val="000000"/>
                <w:sz w:val="22"/>
              </w:rPr>
              <w:t>Gary S. Hogge</w:t>
            </w:r>
          </w:p>
        </w:tc>
        <w:tc>
          <w:tcPr>
            <w:tcW w:w="109" w:type="dxa"/>
            <w:tcBorders/>
            <w:vAlign w:val="center"/>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Name: Brian M. Culley</w:t>
            </w:r>
          </w:p>
        </w:tc>
      </w:tr>
      <w:tr>
        <w:trPr/>
        <w:tc>
          <w:tcPr>
            <w:tcW w:w="2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Title: Chief Executive Officer</w:t>
            </w:r>
          </w:p>
        </w:tc>
      </w:tr>
    </w:tbl>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1" w:name="lctx-ex21_1.htm"/>
      <w:bookmarkStart w:id="42" w:name="kslctxex21_1"/>
      <w:bookmarkEnd w:id="41"/>
      <w:bookmarkEnd w:id="42"/>
      <w:r>
        <w:rPr>
          <w:rFonts w:ascii="Times New Roman" w:hAnsi="Times New Roman"/>
          <w:b/>
          <w:color w:val="000000"/>
          <w:sz w:val="20"/>
        </w:rPr>
        <w:t>Exhibit 21.1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is a list of subsidiaries of Lineage Cell Therapeutics, Inc. as of December 31, 2023, omitting some subsidiaries which, considered in the aggregate, would not constitute a significant subsidiary.</w:t>
      </w:r>
    </w:p>
    <w:p>
      <w:pPr>
        <w:pStyle w:val="TextBody"/>
        <w:bidi w:val="0"/>
        <w:jc w:val="left"/>
        <w:rPr/>
      </w:pPr>
      <w:r>
        <w:rPr/>
        <w:t> </w:t>
      </w:r>
    </w:p>
    <w:tbl>
      <w:tblPr>
        <w:tblW w:w="7408" w:type="dxa"/>
        <w:jc w:val="left"/>
        <w:tblInd w:w="0" w:type="dxa"/>
        <w:tblLayout w:type="fixed"/>
        <w:tblCellMar>
          <w:top w:w="28" w:type="dxa"/>
          <w:left w:w="28" w:type="dxa"/>
          <w:bottom w:w="28" w:type="dxa"/>
          <w:right w:w="28" w:type="dxa"/>
        </w:tblCellMar>
      </w:tblPr>
      <w:tblGrid>
        <w:gridCol w:w="2506"/>
        <w:gridCol w:w="146"/>
        <w:gridCol w:w="4756"/>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56" w:type="dxa"/>
            <w:tcBorders/>
            <w:vAlign w:val="center"/>
          </w:tcPr>
          <w:p>
            <w:pPr>
              <w:pStyle w:val="TableContents"/>
              <w:bidi w:val="0"/>
              <w:spacing w:before="0" w:after="283"/>
              <w:jc w:val="left"/>
              <w:rPr>
                <w:sz w:val="4"/>
                <w:szCs w:val="4"/>
              </w:rPr>
            </w:pPr>
            <w:r>
              <w:rPr>
                <w:sz w:val="4"/>
                <w:szCs w:val="4"/>
              </w:rPr>
            </w:r>
          </w:p>
        </w:tc>
      </w:tr>
      <w:tr>
        <w:trPr/>
        <w:tc>
          <w:tcPr>
            <w:tcW w:w="25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Subsidiary</w:t>
            </w:r>
          </w:p>
        </w:tc>
        <w:tc>
          <w:tcPr>
            <w:tcW w:w="146"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pPr>
            <w:r>
              <w:rPr/>
              <w:t> </w:t>
            </w:r>
          </w:p>
        </w:tc>
        <w:tc>
          <w:tcPr>
            <w:tcW w:w="47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State or Jurisdiction of Incorporation or Organization</w:t>
            </w:r>
          </w:p>
        </w:tc>
      </w:tr>
      <w:tr>
        <w:trPr/>
        <w:tc>
          <w:tcPr>
            <w:tcW w:w="25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Cell Cure Neurosciences Ltd</w:t>
            </w:r>
          </w:p>
        </w:tc>
        <w:tc>
          <w:tcPr>
            <w:tcW w:w="146" w:type="dxa"/>
            <w:tcBorders/>
            <w:vAlign w:val="center"/>
          </w:tcPr>
          <w:p>
            <w:pPr>
              <w:pStyle w:val="TableContents"/>
              <w:bidi w:val="0"/>
              <w:spacing w:before="0" w:after="283"/>
              <w:jc w:val="left"/>
              <w:rPr/>
            </w:pPr>
            <w:r>
              <w:rPr/>
              <w:t> </w:t>
            </w:r>
          </w:p>
        </w:tc>
        <w:tc>
          <w:tcPr>
            <w:tcW w:w="4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Israel</w:t>
            </w:r>
          </w:p>
        </w:tc>
      </w:tr>
      <w:tr>
        <w:trPr/>
        <w:tc>
          <w:tcPr>
            <w:tcW w:w="25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 Cell International Pte. Ltd</w:t>
            </w:r>
          </w:p>
        </w:tc>
        <w:tc>
          <w:tcPr>
            <w:tcW w:w="146" w:type="dxa"/>
            <w:tcBorders/>
            <w:vAlign w:val="center"/>
          </w:tcPr>
          <w:p>
            <w:pPr>
              <w:pStyle w:val="TableContents"/>
              <w:bidi w:val="0"/>
              <w:spacing w:before="0" w:after="283"/>
              <w:jc w:val="left"/>
              <w:rPr/>
            </w:pPr>
            <w:r>
              <w:rPr/>
              <w:t> </w:t>
            </w:r>
          </w:p>
        </w:tc>
        <w:tc>
          <w:tcPr>
            <w:tcW w:w="4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Singapore</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3" w:name="lctx-ex23_1.htm"/>
      <w:bookmarkStart w:id="44" w:name="kslctxex23_1"/>
      <w:bookmarkEnd w:id="43"/>
      <w:bookmarkEnd w:id="44"/>
      <w:r>
        <w:rPr>
          <w:rFonts w:ascii="Times New Roman" w:hAnsi="Times New Roman"/>
          <w:b/>
          <w:color w:val="000000"/>
          <w:sz w:val="20"/>
        </w:rPr>
        <w:t>Exhibit 23.1</w:t>
      </w:r>
      <w:r>
        <w:br w:type="page"/>
      </w:r>
    </w:p>
    <w:p>
      <w:pPr>
        <w:pStyle w:val="TextBody"/>
        <w:bidi w:val="0"/>
        <w:jc w:val="center"/>
        <w:rPr>
          <w:rFonts w:ascii="Times New Roman" w:hAnsi="Times New Roman"/>
          <w:color w:val="000000"/>
          <w:sz w:val="20"/>
        </w:rPr>
      </w:pPr>
      <w:r>
        <w:rPr>
          <w:rFonts w:ascii="Times New Roman" w:hAnsi="Times New Roman"/>
          <w:color w:val="000000"/>
          <w:sz w:val="20"/>
        </w:rPr>
        <w:t>CONSENT OF INDEPENDENT REGISTERED PUBLIC ACCOUNTING FIRM</w:t>
      </w:r>
    </w:p>
    <w:p>
      <w:pPr>
        <w:pStyle w:val="TextBody"/>
        <w:bidi w:val="0"/>
        <w:jc w:val="both"/>
        <w:rPr>
          <w:rFonts w:ascii="Times New Roman" w:hAnsi="Times New Roman"/>
          <w:color w:val="000000"/>
          <w:sz w:val="20"/>
        </w:rPr>
      </w:pPr>
      <w:r>
        <w:rPr>
          <w:rFonts w:ascii="Times New Roman" w:hAnsi="Times New Roman"/>
          <w:color w:val="000000"/>
          <w:sz w:val="20"/>
        </w:rPr>
        <w:t>We hereby consent to the incorporation by reference in the Registration Statements on Form S-3 (Registration Nos. 333-166862, 333-167822, 333-174282, 333-182964, 333-183557, 333-187710, 333-188066, 333-201824, 333-209000, 333-217182, 333-218807, 333-254155, and 333-254167), and Form S-8 (Registration Nos. 333-101651, 333-122844, 333-163396, 333-192531, 333-205661, 333-219204, 333-233132, 333-254158, 333-259853 and 333-275505) of Lineage Cell Therapeutics, Inc. of our report dated March 7, 2024, relating to the consolidated financial statements of Lineage Cell Therapeutics, Inc, as of and for the years ended December 31, 2023 and 2022, which appears in this Form 10-K.</w:t>
      </w:r>
    </w:p>
    <w:tbl>
      <w:tblPr>
        <w:tblW w:w="2630" w:type="dxa"/>
        <w:jc w:val="left"/>
        <w:tblInd w:w="0" w:type="dxa"/>
        <w:tblLayout w:type="fixed"/>
        <w:tblCellMar>
          <w:top w:w="28" w:type="dxa"/>
          <w:left w:w="28" w:type="dxa"/>
          <w:bottom w:w="28" w:type="dxa"/>
          <w:right w:w="28" w:type="dxa"/>
        </w:tblCellMar>
      </w:tblPr>
      <w:tblGrid>
        <w:gridCol w:w="2476"/>
        <w:gridCol w:w="154"/>
      </w:tblGrid>
      <w:tr>
        <w:trPr/>
        <w:tc>
          <w:tcPr>
            <w:tcW w:w="24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6"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WithumSmith+Brown, PC</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 Francisco, California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7, 2024</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pPr>
      <w:bookmarkStart w:id="45" w:name="gfpex31_1_htm"/>
      <w:bookmarkEnd w:id="45"/>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6" w:name="lctx-ex31_1.htm"/>
      <w:bookmarkStart w:id="47" w:name="kslctxex31_1"/>
      <w:bookmarkEnd w:id="46"/>
      <w:bookmarkEnd w:id="47"/>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both"/>
        <w:rPr>
          <w:rFonts w:ascii="Times New Roman" w:hAnsi="Times New Roman"/>
          <w:color w:val="000000"/>
          <w:sz w:val="20"/>
        </w:rPr>
      </w:pPr>
      <w:r>
        <w:rPr>
          <w:rFonts w:ascii="Times New Roman" w:hAnsi="Times New Roman"/>
          <w:color w:val="000000"/>
          <w:sz w:val="20"/>
        </w:rPr>
        <w:t>I, Brian M. Culley, certify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have reviewed this annual report on Form 10-K of Lineage Cell Therapeutics,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 March 7, 2024</w:t>
      </w:r>
    </w:p>
    <w:tbl>
      <w:tblPr>
        <w:tblW w:w="2600" w:type="dxa"/>
        <w:jc w:val="left"/>
        <w:tblInd w:w="0" w:type="dxa"/>
        <w:tblLayout w:type="fixed"/>
        <w:tblCellMar>
          <w:top w:w="28" w:type="dxa"/>
          <w:left w:w="28" w:type="dxa"/>
          <w:bottom w:w="28" w:type="dxa"/>
          <w:right w:w="28" w:type="dxa"/>
        </w:tblCellMar>
      </w:tblPr>
      <w:tblGrid>
        <w:gridCol w:w="2446"/>
        <w:gridCol w:w="154"/>
      </w:tblGrid>
      <w:tr>
        <w:trPr/>
        <w:tc>
          <w:tcPr>
            <w:tcW w:w="24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Brian M. Culley</w:t>
            </w:r>
          </w:p>
        </w:tc>
        <w:tc>
          <w:tcPr>
            <w:tcW w:w="154"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M. Culley</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48" w:name="lctx-ex31_2.htm"/>
      <w:bookmarkStart w:id="49" w:name="kslctxex31_2"/>
      <w:bookmarkEnd w:id="48"/>
      <w:bookmarkEnd w:id="49"/>
      <w:r>
        <w:rPr>
          <w:rFonts w:ascii="Times New Roman" w:hAnsi="Times New Roman"/>
          <w:b/>
          <w:color w:val="000000"/>
          <w:sz w:val="24"/>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Jill Ann Howe, certify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have reviewed this annual report on Form 10-K of Lineage Cell Therapeutics,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 March 7, 2024</w:t>
      </w:r>
    </w:p>
    <w:p>
      <w:pPr>
        <w:pStyle w:val="TextBody"/>
        <w:bidi w:val="0"/>
        <w:jc w:val="left"/>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283"/>
              <w:jc w:val="left"/>
              <w:rPr>
                <w:sz w:val="4"/>
                <w:szCs w:val="4"/>
              </w:rPr>
            </w:pPr>
            <w:r>
              <w:rPr>
                <w:sz w:val="4"/>
                <w:szCs w:val="4"/>
              </w:rPr>
            </w:r>
          </w:p>
        </w:tc>
      </w:tr>
      <w:tr>
        <w:trPr/>
        <w:tc>
          <w:tcPr>
            <w:tcW w:w="3781"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Jill Ann Howe</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Jill Ann Howe </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bookmarkStart w:id="50" w:name="gfpex32_1_htm"/>
      <w:bookmarkEnd w:id="50"/>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1" w:name="lctx-ex32_1.htm"/>
      <w:bookmarkStart w:id="52" w:name="kslctxex32_1"/>
      <w:bookmarkEnd w:id="51"/>
      <w:bookmarkEnd w:id="52"/>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both"/>
        <w:rPr>
          <w:rFonts w:ascii="Times New Roman" w:hAnsi="Times New Roman"/>
          <w:color w:val="000000"/>
          <w:sz w:val="20"/>
        </w:rPr>
      </w:pPr>
      <w:r>
        <w:rPr>
          <w:rFonts w:ascii="Times New Roman" w:hAnsi="Times New Roman"/>
          <w:color w:val="000000"/>
          <w:sz w:val="20"/>
        </w:rPr>
        <w:t>In connection with the Annual Report on Form 10-K of Lineage Cell Therapeutics, Inc. (the “Company”) for the year ended December 31, 2023 as filed with the Securities and Exchange Commission on the date hereof (the “Report”), we, Brian M. Culley, Chief Executive Officer of the Company, and Jill Ann Howe, Chief Financial Officer of the Company, certify pursuant to 18 U.S.C. Section 1350, as adopted pursuant to Section 906 of the Sarbanes-Oxley Act of 2002, that: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 March 7, 2024</w:t>
      </w:r>
    </w:p>
    <w:tbl>
      <w:tblPr>
        <w:tblW w:w="2600" w:type="dxa"/>
        <w:jc w:val="left"/>
        <w:tblInd w:w="0" w:type="dxa"/>
        <w:tblLayout w:type="fixed"/>
        <w:tblCellMar>
          <w:top w:w="28" w:type="dxa"/>
          <w:left w:w="28" w:type="dxa"/>
          <w:bottom w:w="28" w:type="dxa"/>
          <w:right w:w="28" w:type="dxa"/>
        </w:tblCellMar>
      </w:tblPr>
      <w:tblGrid>
        <w:gridCol w:w="2446"/>
        <w:gridCol w:w="154"/>
      </w:tblGrid>
      <w:tr>
        <w:trPr/>
        <w:tc>
          <w:tcPr>
            <w:tcW w:w="24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/s/ Brian M. Culley</w:t>
            </w:r>
          </w:p>
        </w:tc>
        <w:tc>
          <w:tcPr>
            <w:tcW w:w="154"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Brian M. Culley</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Executive Officer)</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bl>
    <w:tbl>
      <w:tblPr>
        <w:tblW w:w="3890" w:type="dxa"/>
        <w:jc w:val="left"/>
        <w:tblInd w:w="0" w:type="dxa"/>
        <w:tblLayout w:type="fixed"/>
        <w:tblCellMar>
          <w:top w:w="28" w:type="dxa"/>
          <w:left w:w="28" w:type="dxa"/>
          <w:bottom w:w="28" w:type="dxa"/>
          <w:right w:w="28" w:type="dxa"/>
        </w:tblCellMar>
      </w:tblPr>
      <w:tblGrid>
        <w:gridCol w:w="3736"/>
        <w:gridCol w:w="154"/>
      </w:tblGrid>
      <w:tr>
        <w:trPr/>
        <w:tc>
          <w:tcPr>
            <w:tcW w:w="3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Jill Ann Howe</w:t>
            </w:r>
          </w:p>
        </w:tc>
        <w:tc>
          <w:tcPr>
            <w:tcW w:w="154"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Jill Ann Howe </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Financial Officer</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jc w:val="both"/>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Lineage Cell Therapeutics, Inc. and will be retained by Lineage Cell Therapeutics, Inc. and furnished to the Securities and Exchange Commission or its staff upon request.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3" w:name="lctx-ex97.htm"/>
      <w:bookmarkStart w:id="54" w:name="kslctxex97"/>
      <w:bookmarkEnd w:id="53"/>
      <w:bookmarkEnd w:id="54"/>
      <w:r>
        <w:rPr>
          <w:rFonts w:ascii="Times New Roman" w:hAnsi="Times New Roman"/>
          <w:b/>
          <w:color w:val="000000"/>
          <w:sz w:val="20"/>
        </w:rPr>
        <w:t>Exhibit 97</w:t>
      </w:r>
      <w:r>
        <w:br w:type="page"/>
      </w:r>
    </w:p>
    <w:p>
      <w:pPr>
        <w:pStyle w:val="TextBody"/>
        <w:bidi w:val="0"/>
        <w:jc w:val="center"/>
        <w:rPr>
          <w:rFonts w:ascii="Times New Roman" w:hAnsi="Times New Roman"/>
          <w:sz w:val="20"/>
        </w:rPr>
      </w:pPr>
      <w:r>
        <w:rPr>
          <w:rFonts w:ascii="Calibri;sans-serif" w:hAnsi="Calibri;sans-serif"/>
          <w:b/>
          <w:color w:val="000000"/>
          <w:sz w:val="22"/>
        </w:rPr>
        <w:t>LINEAGE CELL THERAPEUTICS, INC.</w:t>
      </w:r>
      <w:r>
        <w:rPr>
          <w:rFonts w:ascii="Times New Roman" w:hAnsi="Times New Roman"/>
          <w:color w:val="000000"/>
          <w:sz w:val="20"/>
        </w:rPr>
        <w:t xml:space="preserve"> </w:t>
      </w:r>
    </w:p>
    <w:p>
      <w:pPr>
        <w:pStyle w:val="TextBody"/>
        <w:bidi w:val="0"/>
        <w:jc w:val="center"/>
        <w:rPr>
          <w:rFonts w:ascii="Calibri;sans-serif" w:hAnsi="Calibri;sans-serif"/>
          <w:b/>
          <w:color w:val="000000"/>
          <w:sz w:val="22"/>
        </w:rPr>
      </w:pPr>
      <w:r>
        <w:rPr>
          <w:rFonts w:ascii="Calibri;sans-serif" w:hAnsi="Calibri;sans-serif"/>
          <w:b/>
          <w:color w:val="000000"/>
          <w:sz w:val="22"/>
        </w:rPr>
        <w:t>POLICY ON RECOVERY OF ERRONEOUSLY AWARDED COMPENSATION</w:t>
      </w:r>
    </w:p>
    <w:p>
      <w:pPr>
        <w:pStyle w:val="TextBody"/>
        <w:bidi w:val="0"/>
        <w:jc w:val="center"/>
        <w:rPr>
          <w:rFonts w:ascii="Calibri;sans-serif" w:hAnsi="Calibri;sans-serif"/>
          <w:b/>
          <w:color w:val="000000"/>
          <w:sz w:val="22"/>
        </w:rPr>
      </w:pPr>
      <w:r>
        <w:rPr>
          <w:rFonts w:ascii="Calibri;sans-serif" w:hAnsi="Calibri;sans-serif"/>
          <w:b/>
          <w:color w:val="000000"/>
          <w:sz w:val="22"/>
        </w:rPr>
        <w:t>November 22, 2023</w:t>
      </w:r>
    </w:p>
    <w:p>
      <w:pPr>
        <w:pStyle w:val="TextBody"/>
        <w:bidi w:val="0"/>
        <w:spacing w:before="0" w:after="120"/>
        <w:jc w:val="left"/>
        <w:rPr>
          <w:rFonts w:ascii="Calibri" w:hAnsi="Calibri"/>
          <w:b/>
          <w:color w:val="000000"/>
          <w:sz w:val="22"/>
        </w:rPr>
      </w:pPr>
      <w:r>
        <w:rPr>
          <w:rFonts w:ascii="Calibri" w:hAnsi="Calibri"/>
          <w:b/>
          <w:color w:val="000000"/>
          <w:sz w:val="22"/>
        </w:rPr>
        <w:t>1.</w:t>
      </w:r>
    </w:p>
    <w:p>
      <w:pPr>
        <w:pStyle w:val="TextBody"/>
        <w:bidi w:val="0"/>
        <w:spacing w:before="0" w:after="120"/>
        <w:jc w:val="left"/>
        <w:rPr>
          <w:rFonts w:ascii="Calibri;sans-serif" w:hAnsi="Calibri;sans-serif"/>
          <w:b/>
          <w:color w:val="000000"/>
          <w:sz w:val="22"/>
          <w:u w:val="single"/>
        </w:rPr>
      </w:pPr>
      <w:r>
        <w:rPr>
          <w:rFonts w:ascii="Calibri;sans-serif" w:hAnsi="Calibri;sans-serif"/>
          <w:b/>
          <w:color w:val="000000"/>
          <w:sz w:val="22"/>
          <w:u w:val="single"/>
        </w:rPr>
        <w:t>Overview</w:t>
      </w:r>
    </w:p>
    <w:p>
      <w:pPr>
        <w:pStyle w:val="TextBody"/>
        <w:bidi w:val="0"/>
        <w:spacing w:before="0" w:after="120"/>
        <w:jc w:val="both"/>
        <w:rPr>
          <w:rFonts w:ascii="Times New Roman" w:hAnsi="Times New Roman"/>
          <w:sz w:val="20"/>
        </w:rPr>
      </w:pPr>
      <w:r>
        <w:rPr>
          <w:rFonts w:ascii="Calibri;sans-serif" w:hAnsi="Calibri;sans-serif"/>
          <w:color w:val="000000"/>
          <w:sz w:val="22"/>
        </w:rPr>
        <w:t>The Board believes that it is in the best interests of the Company and its shareholders to adopt this Policy to provide for the recovery of certain Incentive-Based Compensation in the event of an Accounting Restatement. This Policy is designed to comply with, and shall be interpreted to be consistent with, Section 10D of the Exchange Act, the regulations and rules promulgated by the SEC thereunder, including, without limitation, Rule 10D-1 promulgated under the Exchange Act (“</w:t>
      </w:r>
      <w:r>
        <w:rPr>
          <w:rFonts w:ascii="Calibri;sans-serif" w:hAnsi="Calibri;sans-serif"/>
          <w:color w:val="000000"/>
          <w:sz w:val="22"/>
          <w:u w:val="single"/>
        </w:rPr>
        <w:t>Rule 10D-1</w:t>
      </w:r>
      <w:r>
        <w:rPr>
          <w:rFonts w:ascii="Times New Roman" w:hAnsi="Times New Roman"/>
          <w:color w:val="000000"/>
          <w:sz w:val="20"/>
        </w:rPr>
        <w:t>”</w:t>
      </w:r>
      <w:r>
        <w:rPr>
          <w:rFonts w:ascii="Calibri;sans-serif" w:hAnsi="Calibri;sans-serif"/>
          <w:color w:val="000000"/>
          <w:sz w:val="22"/>
        </w:rPr>
        <w:t>), and the applicable rules, regulations and listing standards of the Exchange (collectively, and as the same may be in effect from time to time, the “</w:t>
      </w:r>
      <w:r>
        <w:rPr>
          <w:rFonts w:ascii="Calibri;sans-serif" w:hAnsi="Calibri;sans-serif"/>
          <w:color w:val="000000"/>
          <w:sz w:val="22"/>
          <w:u w:val="single"/>
        </w:rPr>
        <w:t>Applicable Rules</w:t>
      </w:r>
      <w:r>
        <w:rPr>
          <w:rFonts w:ascii="Times New Roman" w:hAnsi="Times New Roman"/>
          <w:color w:val="000000"/>
          <w:sz w:val="20"/>
        </w:rPr>
        <w:t>”</w:t>
      </w:r>
      <w:r>
        <w:rPr>
          <w:rFonts w:ascii="Calibri;sans-serif" w:hAnsi="Calibri;sans-serif"/>
          <w:color w:val="000000"/>
          <w:sz w:val="22"/>
        </w:rPr>
        <w:t>). Unless otherwise defined in this Policy, capitalized terms used in this Policy have the meanings given to them in Section 2.</w:t>
      </w:r>
    </w:p>
    <w:p>
      <w:pPr>
        <w:pStyle w:val="TextBody"/>
        <w:bidi w:val="0"/>
        <w:spacing w:before="0" w:after="120"/>
        <w:jc w:val="left"/>
        <w:rPr>
          <w:rFonts w:ascii="Calibri" w:hAnsi="Calibri"/>
          <w:b/>
          <w:color w:val="000000"/>
          <w:sz w:val="22"/>
        </w:rPr>
      </w:pPr>
      <w:r>
        <w:rPr>
          <w:rFonts w:ascii="Calibri" w:hAnsi="Calibri"/>
          <w:b/>
          <w:color w:val="000000"/>
          <w:sz w:val="22"/>
        </w:rPr>
        <w:t>2.</w:t>
      </w:r>
    </w:p>
    <w:p>
      <w:pPr>
        <w:pStyle w:val="TextBody"/>
        <w:bidi w:val="0"/>
        <w:spacing w:before="0" w:after="120"/>
        <w:jc w:val="left"/>
        <w:rPr>
          <w:rFonts w:ascii="Calibri;sans-serif" w:hAnsi="Calibri;sans-serif"/>
          <w:b/>
          <w:color w:val="000000"/>
          <w:sz w:val="22"/>
          <w:u w:val="single"/>
        </w:rPr>
      </w:pPr>
      <w:r>
        <w:rPr>
          <w:rFonts w:ascii="Calibri;sans-serif" w:hAnsi="Calibri;sans-serif"/>
          <w:b/>
          <w:color w:val="000000"/>
          <w:sz w:val="22"/>
          <w:u w:val="single"/>
        </w:rPr>
        <w:t>Definitions</w:t>
      </w:r>
    </w:p>
    <w:p>
      <w:pPr>
        <w:pStyle w:val="TextBody"/>
        <w:bidi w:val="0"/>
        <w:spacing w:before="0" w:after="120"/>
        <w:jc w:val="both"/>
        <w:rPr>
          <w:rFonts w:ascii="Calibri" w:hAnsi="Calibri"/>
          <w:color w:val="000000"/>
          <w:sz w:val="22"/>
        </w:rPr>
      </w:pPr>
      <w:r>
        <w:rPr>
          <w:rFonts w:ascii="Calibri" w:hAnsi="Calibri"/>
          <w:color w:val="000000"/>
          <w:sz w:val="22"/>
        </w:rPr>
        <w:t>(a)</w:t>
      </w:r>
    </w:p>
    <w:p>
      <w:pPr>
        <w:pStyle w:val="TextBody"/>
        <w:bidi w:val="0"/>
        <w:spacing w:before="0" w:after="120"/>
        <w:jc w:val="both"/>
        <w:rPr/>
      </w:pPr>
      <w:r>
        <w:rPr>
          <w:color w:val="000000"/>
        </w:rPr>
        <w:t>“</w:t>
      </w:r>
      <w:r>
        <w:rPr>
          <w:rFonts w:ascii="Calibri;sans-serif" w:hAnsi="Calibri;sans-serif"/>
          <w:color w:val="000000"/>
          <w:sz w:val="22"/>
          <w:u w:val="single"/>
        </w:rPr>
        <w:t>Accounting Restatement</w:t>
      </w:r>
      <w:r>
        <w:rPr>
          <w:color w:val="000000"/>
        </w:rPr>
        <w:t xml:space="preserve">” </w:t>
      </w:r>
      <w:r>
        <w:rPr>
          <w:rFonts w:ascii="Calibri;sans-serif" w:hAnsi="Calibri;sans-serif"/>
          <w:color w:val="000000"/>
          <w:sz w:val="22"/>
        </w:rPr>
        <w:t xml:space="preserve">means an accounting restatement of the Company’s financial statements due to the Company’s material noncompliance with any financial reporting requirement under U.S.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w:t>
      </w:r>
    </w:p>
    <w:p>
      <w:pPr>
        <w:pStyle w:val="TextBody"/>
        <w:bidi w:val="0"/>
        <w:spacing w:before="0" w:after="120"/>
        <w:jc w:val="both"/>
        <w:rPr>
          <w:rFonts w:ascii="Calibri" w:hAnsi="Calibri"/>
          <w:color w:val="000000"/>
          <w:sz w:val="22"/>
        </w:rPr>
      </w:pPr>
      <w:r>
        <w:rPr>
          <w:rFonts w:ascii="Calibri" w:hAnsi="Calibri"/>
          <w:color w:val="000000"/>
          <w:sz w:val="22"/>
        </w:rPr>
        <w:t>(b)</w:t>
      </w:r>
    </w:p>
    <w:p>
      <w:pPr>
        <w:pStyle w:val="TextBody"/>
        <w:bidi w:val="0"/>
        <w:spacing w:before="0" w:after="120"/>
        <w:jc w:val="both"/>
        <w:rPr/>
      </w:pPr>
      <w:r>
        <w:rPr>
          <w:color w:val="000000"/>
        </w:rPr>
        <w:t>“</w:t>
      </w:r>
      <w:r>
        <w:rPr>
          <w:rFonts w:ascii="Calibri;sans-serif" w:hAnsi="Calibri;sans-serif"/>
          <w:color w:val="000000"/>
          <w:sz w:val="22"/>
          <w:u w:val="single"/>
        </w:rPr>
        <w:t>Board</w:t>
      </w:r>
      <w:r>
        <w:rPr>
          <w:color w:val="000000"/>
        </w:rPr>
        <w:t xml:space="preserve">” </w:t>
      </w:r>
      <w:r>
        <w:rPr>
          <w:rFonts w:ascii="Calibri;sans-serif" w:hAnsi="Calibri;sans-serif"/>
          <w:color w:val="000000"/>
          <w:sz w:val="22"/>
        </w:rPr>
        <w:t>means the Board of Directors of the Company, as constituted from time to time.</w:t>
      </w:r>
    </w:p>
    <w:p>
      <w:pPr>
        <w:pStyle w:val="TextBody"/>
        <w:bidi w:val="0"/>
        <w:spacing w:before="0" w:after="120"/>
        <w:jc w:val="both"/>
        <w:rPr>
          <w:rFonts w:ascii="Calibri" w:hAnsi="Calibri"/>
          <w:color w:val="000000"/>
          <w:sz w:val="22"/>
        </w:rPr>
      </w:pPr>
      <w:r>
        <w:rPr>
          <w:rFonts w:ascii="Calibri" w:hAnsi="Calibri"/>
          <w:color w:val="000000"/>
          <w:sz w:val="22"/>
        </w:rPr>
        <w:t>(c)</w:t>
      </w:r>
    </w:p>
    <w:p>
      <w:pPr>
        <w:pStyle w:val="TextBody"/>
        <w:bidi w:val="0"/>
        <w:spacing w:before="0" w:after="120"/>
        <w:jc w:val="both"/>
        <w:rPr/>
      </w:pPr>
      <w:r>
        <w:rPr>
          <w:color w:val="000000"/>
        </w:rPr>
        <w:t>“</w:t>
      </w:r>
      <w:r>
        <w:rPr>
          <w:rFonts w:ascii="Calibri;sans-serif" w:hAnsi="Calibri;sans-serif"/>
          <w:color w:val="000000"/>
          <w:sz w:val="22"/>
          <w:u w:val="single"/>
        </w:rPr>
        <w:t>Clawback Eligible Incentive-Based Compensation</w:t>
      </w:r>
      <w:r>
        <w:rPr>
          <w:color w:val="000000"/>
        </w:rPr>
        <w:t xml:space="preserve">” </w:t>
      </w:r>
      <w:r>
        <w:rPr>
          <w:rFonts w:ascii="Calibri;sans-serif" w:hAnsi="Calibri;sans-serif"/>
          <w:color w:val="000000"/>
          <w:sz w:val="22"/>
        </w:rPr>
        <w:t>means, in connection with an Accounting Restatement and with respect to each individual who served as a Senior Executive at any time during the applicable performance period for any Incentive-Based Compensation (whether or not such Senior Executive is serving at the time the Erroneously Awarded Compensation is required to be recouped by the Company), all Incentive-Based Compensation Received by such Senior Executive (i) on or after the Effective Date, (ii) after beginning service as a Senior Executive, (iii) while the Company has a class of securities listed on a national securities exchange, and (iv) during the applicable Look-Back Period.</w:t>
      </w:r>
    </w:p>
    <w:p>
      <w:pPr>
        <w:pStyle w:val="TextBody"/>
        <w:bidi w:val="0"/>
        <w:spacing w:before="0" w:after="120"/>
        <w:jc w:val="both"/>
        <w:rPr>
          <w:rFonts w:ascii="Calibri" w:hAnsi="Calibri"/>
          <w:color w:val="000000"/>
          <w:sz w:val="22"/>
        </w:rPr>
      </w:pPr>
      <w:r>
        <w:rPr>
          <w:rFonts w:ascii="Calibri" w:hAnsi="Calibri"/>
          <w:color w:val="000000"/>
          <w:sz w:val="22"/>
        </w:rPr>
        <w:t>(d)</w:t>
      </w:r>
    </w:p>
    <w:p>
      <w:pPr>
        <w:pStyle w:val="TextBody"/>
        <w:bidi w:val="0"/>
        <w:spacing w:before="0" w:after="120"/>
        <w:jc w:val="both"/>
        <w:rPr/>
      </w:pPr>
      <w:r>
        <w:rPr>
          <w:color w:val="000000"/>
        </w:rPr>
        <w:t>“</w:t>
      </w:r>
      <w:r>
        <w:rPr>
          <w:rFonts w:ascii="Calibri;sans-serif" w:hAnsi="Calibri;sans-serif"/>
          <w:color w:val="000000"/>
          <w:sz w:val="22"/>
          <w:u w:val="single"/>
        </w:rPr>
        <w:t>Committee</w:t>
      </w:r>
      <w:r>
        <w:rPr>
          <w:color w:val="000000"/>
        </w:rPr>
        <w:t xml:space="preserve">” </w:t>
      </w:r>
      <w:r>
        <w:rPr>
          <w:rFonts w:ascii="Calibri;sans-serif" w:hAnsi="Calibri;sans-serif"/>
          <w:color w:val="000000"/>
          <w:sz w:val="22"/>
        </w:rPr>
        <w:t>means the Compensation Committee of the Board or such other committee or subcommittee of the Board, if any, duly appointed to administer this Policy and having such powers in each instance as shall be specified by the Board and as specified in Section 3 of this Policy. The Board may also serve as the Committee.</w:t>
      </w:r>
    </w:p>
    <w:p>
      <w:pPr>
        <w:pStyle w:val="TextBody"/>
        <w:bidi w:val="0"/>
        <w:spacing w:before="0" w:after="120"/>
        <w:jc w:val="both"/>
        <w:rPr>
          <w:rFonts w:ascii="Calibri" w:hAnsi="Calibri"/>
          <w:color w:val="000000"/>
          <w:sz w:val="22"/>
        </w:rPr>
      </w:pPr>
      <w:r>
        <w:rPr>
          <w:rFonts w:ascii="Calibri" w:hAnsi="Calibri"/>
          <w:color w:val="000000"/>
          <w:sz w:val="22"/>
        </w:rPr>
        <w:t>(e)</w:t>
      </w:r>
    </w:p>
    <w:p>
      <w:pPr>
        <w:pStyle w:val="TextBody"/>
        <w:bidi w:val="0"/>
        <w:spacing w:before="0" w:after="120"/>
        <w:jc w:val="both"/>
        <w:rPr/>
      </w:pPr>
      <w:r>
        <w:rPr>
          <w:color w:val="000000"/>
        </w:rPr>
        <w:t>“</w:t>
      </w:r>
      <w:r>
        <w:rPr>
          <w:rFonts w:ascii="Calibri;sans-serif" w:hAnsi="Calibri;sans-serif"/>
          <w:color w:val="000000"/>
          <w:sz w:val="22"/>
          <w:u w:val="single"/>
        </w:rPr>
        <w:t>Company</w:t>
      </w:r>
      <w:r>
        <w:rPr>
          <w:color w:val="000000"/>
        </w:rPr>
        <w:t xml:space="preserve">” </w:t>
      </w:r>
      <w:r>
        <w:rPr>
          <w:rFonts w:ascii="Calibri;sans-serif" w:hAnsi="Calibri;sans-serif"/>
          <w:color w:val="000000"/>
          <w:sz w:val="22"/>
        </w:rPr>
        <w:t>means Lineage Cell Therapeutics, Inc., a California corporation.</w:t>
      </w:r>
    </w:p>
    <w:p>
      <w:pPr>
        <w:pStyle w:val="TextBody"/>
        <w:bidi w:val="0"/>
        <w:spacing w:before="0" w:after="120"/>
        <w:jc w:val="both"/>
        <w:rPr>
          <w:rFonts w:ascii="Calibri" w:hAnsi="Calibri"/>
          <w:color w:val="000000"/>
          <w:sz w:val="22"/>
        </w:rPr>
      </w:pPr>
      <w:r>
        <w:rPr>
          <w:rFonts w:ascii="Calibri" w:hAnsi="Calibri"/>
          <w:color w:val="000000"/>
          <w:sz w:val="22"/>
        </w:rPr>
        <w:t>(f)</w:t>
      </w:r>
    </w:p>
    <w:p>
      <w:pPr>
        <w:pStyle w:val="TextBody"/>
        <w:bidi w:val="0"/>
        <w:spacing w:before="0" w:after="120"/>
        <w:jc w:val="both"/>
        <w:rPr/>
      </w:pPr>
      <w:r>
        <w:rPr>
          <w:color w:val="000000"/>
        </w:rPr>
        <w:t>“</w:t>
      </w:r>
      <w:r>
        <w:rPr>
          <w:rFonts w:ascii="Calibri;sans-serif" w:hAnsi="Calibri;sans-serif"/>
          <w:color w:val="000000"/>
          <w:sz w:val="22"/>
          <w:u w:val="single"/>
        </w:rPr>
        <w:t>Effective Date</w:t>
      </w:r>
      <w:r>
        <w:rPr>
          <w:color w:val="000000"/>
        </w:rPr>
        <w:t xml:space="preserve">” </w:t>
      </w:r>
      <w:r>
        <w:rPr>
          <w:rFonts w:ascii="Calibri;sans-serif" w:hAnsi="Calibri;sans-serif"/>
          <w:color w:val="000000"/>
          <w:sz w:val="22"/>
        </w:rPr>
        <w:t>means October 2, 2023.</w:t>
      </w:r>
    </w:p>
    <w:p>
      <w:pPr>
        <w:pStyle w:val="TextBody"/>
        <w:bidi w:val="0"/>
        <w:spacing w:before="0" w:after="120"/>
        <w:jc w:val="both"/>
        <w:rPr>
          <w:rFonts w:ascii="Calibri" w:hAnsi="Calibri"/>
          <w:color w:val="000000"/>
          <w:sz w:val="22"/>
        </w:rPr>
      </w:pPr>
      <w:r>
        <w:rPr>
          <w:rFonts w:ascii="Calibri" w:hAnsi="Calibri"/>
          <w:color w:val="000000"/>
          <w:sz w:val="22"/>
        </w:rPr>
        <w:t>(g)</w:t>
      </w:r>
    </w:p>
    <w:p>
      <w:pPr>
        <w:pStyle w:val="TextBody"/>
        <w:bidi w:val="0"/>
        <w:spacing w:before="0" w:after="120"/>
        <w:jc w:val="both"/>
        <w:rPr/>
      </w:pPr>
      <w:r>
        <w:rPr>
          <w:color w:val="000000"/>
        </w:rPr>
        <w:t>“</w:t>
      </w:r>
      <w:r>
        <w:rPr>
          <w:rFonts w:ascii="Calibri;sans-serif" w:hAnsi="Calibri;sans-serif"/>
          <w:color w:val="000000"/>
          <w:sz w:val="22"/>
          <w:u w:val="single"/>
        </w:rPr>
        <w:t>Erroneously Awarded Compensation</w:t>
      </w:r>
      <w:r>
        <w:rPr>
          <w:color w:val="000000"/>
        </w:rPr>
        <w:t xml:space="preserve">” </w:t>
      </w:r>
      <w:r>
        <w:rPr>
          <w:rFonts w:ascii="Calibri;sans-serif" w:hAnsi="Calibri;sans-serif"/>
          <w:color w:val="000000"/>
          <w:sz w:val="22"/>
        </w:rPr>
        <w:t>means, with respect to each Senior Executive in connection with an Accounting Restatement, the amount of the Clawback Eligible Incentive-Based Compensation that exceeds the amount of the Incentive-Based Compensation that would have been Received had the amount of such Incentive-Based Compensation been calculated based on the restated amounts, as determined by the Committee, calculated by the Committee without regard to any taxes paid. With respect to Incentive-Based Compensation based on (or derived from) TSR or stock price, where the amount of Erroneously Awarded Compensation is not subject to mathematical recalculation directly from the information in the applicable Accounting Restatement, the Committee shall determine the amount of Erroneously Awarded Compensation based on a reasonable estimate of the effect of the Accounting Restatement on the TSR or stock price upon which the Incentive-Based Compensation was Received.</w:t>
      </w:r>
    </w:p>
    <w:p>
      <w:pPr>
        <w:pStyle w:val="TextBody"/>
        <w:bidi w:val="0"/>
        <w:spacing w:before="0" w:after="120"/>
        <w:jc w:val="both"/>
        <w:rPr>
          <w:rFonts w:ascii="Calibri" w:hAnsi="Calibri"/>
          <w:color w:val="000000"/>
          <w:sz w:val="22"/>
        </w:rPr>
      </w:pPr>
      <w:r>
        <w:rPr>
          <w:rFonts w:ascii="Calibri" w:hAnsi="Calibri"/>
          <w:color w:val="000000"/>
          <w:sz w:val="22"/>
        </w:rPr>
        <w:t>(h)</w:t>
      </w:r>
    </w:p>
    <w:p>
      <w:pPr>
        <w:pStyle w:val="TextBody"/>
        <w:bidi w:val="0"/>
        <w:spacing w:before="0" w:after="120"/>
        <w:jc w:val="both"/>
        <w:rPr/>
      </w:pPr>
      <w:r>
        <w:rPr>
          <w:color w:val="000000"/>
        </w:rPr>
        <w:t>“</w:t>
      </w:r>
      <w:r>
        <w:rPr>
          <w:rFonts w:ascii="Calibri;sans-serif" w:hAnsi="Calibri;sans-serif"/>
          <w:color w:val="000000"/>
          <w:sz w:val="22"/>
          <w:u w:val="single"/>
        </w:rPr>
        <w:t>Exchange</w:t>
      </w:r>
      <w:r>
        <w:rPr>
          <w:color w:val="000000"/>
        </w:rPr>
        <w:t xml:space="preserve">” </w:t>
      </w:r>
      <w:r>
        <w:rPr>
          <w:rFonts w:ascii="Calibri;sans-serif" w:hAnsi="Calibri;sans-serif"/>
          <w:color w:val="000000"/>
          <w:sz w:val="22"/>
        </w:rPr>
        <w:t>means the NYSE American.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Calibri" w:hAnsi="Calibri"/>
          <w:color w:val="000000"/>
          <w:sz w:val="22"/>
        </w:rPr>
      </w:pPr>
      <w:r>
        <w:rPr>
          <w:rFonts w:ascii="Calibri" w:hAnsi="Calibri"/>
          <w:color w:val="000000"/>
          <w:sz w:val="22"/>
        </w:rPr>
        <w:t>(i)</w:t>
      </w:r>
    </w:p>
    <w:p>
      <w:pPr>
        <w:pStyle w:val="TextBody"/>
        <w:bidi w:val="0"/>
        <w:spacing w:before="0" w:after="120"/>
        <w:jc w:val="both"/>
        <w:rPr/>
      </w:pPr>
      <w:r>
        <w:rPr>
          <w:color w:val="000000"/>
        </w:rPr>
        <w:t>“</w:t>
      </w:r>
      <w:r>
        <w:rPr>
          <w:rFonts w:ascii="Calibri;sans-serif" w:hAnsi="Calibri;sans-serif"/>
          <w:color w:val="000000"/>
          <w:sz w:val="22"/>
          <w:u w:val="single"/>
        </w:rPr>
        <w:t>Exchange Act</w:t>
      </w:r>
      <w:r>
        <w:rPr>
          <w:color w:val="000000"/>
        </w:rPr>
        <w:t xml:space="preserve">” </w:t>
      </w:r>
      <w:r>
        <w:rPr>
          <w:rFonts w:ascii="Calibri;sans-serif" w:hAnsi="Calibri;sans-serif"/>
          <w:color w:val="000000"/>
          <w:sz w:val="22"/>
        </w:rPr>
        <w:t>means the Securities Exchange Act of 1934, as amended.</w:t>
      </w:r>
    </w:p>
    <w:p>
      <w:pPr>
        <w:pStyle w:val="TextBody"/>
        <w:bidi w:val="0"/>
        <w:spacing w:before="0" w:after="120"/>
        <w:jc w:val="both"/>
        <w:rPr>
          <w:rFonts w:ascii="Calibri" w:hAnsi="Calibri"/>
          <w:color w:val="000000"/>
          <w:sz w:val="22"/>
        </w:rPr>
      </w:pPr>
      <w:r>
        <w:rPr>
          <w:rFonts w:ascii="Calibri" w:hAnsi="Calibri"/>
          <w:color w:val="000000"/>
          <w:sz w:val="22"/>
        </w:rPr>
        <w:t>(j)</w:t>
      </w:r>
    </w:p>
    <w:p>
      <w:pPr>
        <w:pStyle w:val="TextBody"/>
        <w:bidi w:val="0"/>
        <w:spacing w:before="0" w:after="120"/>
        <w:jc w:val="both"/>
        <w:rPr/>
      </w:pPr>
      <w:r>
        <w:rPr>
          <w:color w:val="000000"/>
        </w:rPr>
        <w:t>“</w:t>
      </w:r>
      <w:r>
        <w:rPr>
          <w:rFonts w:ascii="Calibri;sans-serif" w:hAnsi="Calibri;sans-serif"/>
          <w:color w:val="000000"/>
          <w:sz w:val="22"/>
          <w:u w:val="single"/>
        </w:rPr>
        <w:t>Financial Reporting Measure</w:t>
      </w:r>
      <w:r>
        <w:rPr>
          <w:color w:val="000000"/>
        </w:rPr>
        <w:t xml:space="preserve">” </w:t>
      </w:r>
      <w:r>
        <w:rPr>
          <w:rFonts w:ascii="Calibri;sans-serif" w:hAnsi="Calibri;sans-serif"/>
          <w:color w:val="000000"/>
          <w:sz w:val="22"/>
        </w:rPr>
        <w:t>means any measure that is determined and presented in accordance with the accounting principles used in preparing the Company’s financial statements, and any measure that is derived wholly or in part from such measure, including but not limited to, “non-GAAP financial measures” for purposes of Exchange Act Regulation G and Item 10 of Regulation S-K, as well as other measures, metrics and ratios that are not non-GAAP measures, like same store sales. Financial Reporting Measures include but are not limited to the following (and any measures derived from the following): stock price; TSR; revenues; net income; operating income; profitability of one or more reportable segments; financial ratios (e.g., accounts receivable turnover and inventory turnover rates); earnings before interest, taxes, depreciation and amortization; funds from operations and adjusted funds from operations; liquidity measures (e.g., working capital, operating cash flow); return measures (e.g., return on invested capital, return on assets); earnings measures (e.g., earnings per share); sales per square foot or same store sales, where sales is subject to an Accounting Restatement; revenue per user, or average revenue per user, where revenue is subject to an Accounting Restatement; cost per employee, where cost is subject to an Accounting Restatement; any of such financial reporting measures relative to a peer group, where the Company’s financial reporting measure is subject to an Accounting Restatement; and tax basis income. A Financial Reporting Measure need not be presented within the Company’s financial statements or included in a report or other document filed with the SEC.</w:t>
      </w:r>
    </w:p>
    <w:p>
      <w:pPr>
        <w:pStyle w:val="TextBody"/>
        <w:bidi w:val="0"/>
        <w:spacing w:before="0" w:after="120"/>
        <w:jc w:val="both"/>
        <w:rPr>
          <w:rFonts w:ascii="Calibri" w:hAnsi="Calibri"/>
          <w:color w:val="000000"/>
          <w:sz w:val="22"/>
        </w:rPr>
      </w:pPr>
      <w:r>
        <w:rPr>
          <w:rFonts w:ascii="Calibri" w:hAnsi="Calibri"/>
          <w:color w:val="000000"/>
          <w:sz w:val="22"/>
        </w:rPr>
        <w:t>(k)</w:t>
      </w:r>
    </w:p>
    <w:p>
      <w:pPr>
        <w:pStyle w:val="TextBody"/>
        <w:bidi w:val="0"/>
        <w:spacing w:before="0" w:after="120"/>
        <w:jc w:val="both"/>
        <w:rPr/>
      </w:pPr>
      <w:r>
        <w:rPr>
          <w:color w:val="000000"/>
        </w:rPr>
        <w:t>“</w:t>
      </w:r>
      <w:r>
        <w:rPr>
          <w:rFonts w:ascii="Calibri;sans-serif" w:hAnsi="Calibri;sans-serif"/>
          <w:color w:val="000000"/>
          <w:sz w:val="22"/>
          <w:u w:val="single"/>
        </w:rPr>
        <w:t>Incentive-Based Compensation</w:t>
      </w:r>
      <w:r>
        <w:rPr>
          <w:color w:val="000000"/>
        </w:rPr>
        <w:t xml:space="preserve">” </w:t>
      </w:r>
      <w:r>
        <w:rPr>
          <w:rFonts w:ascii="Calibri;sans-serif" w:hAnsi="Calibri;sans-serif"/>
          <w:color w:val="000000"/>
          <w:sz w:val="22"/>
        </w:rPr>
        <w:t xml:space="preserve">means any compensation granted, earned or vested based wholly or in part upon the attainment of a Financial Reporting Measure, measured on a pre-tax basis. Incentive-Based Compensation includes, without limitation: any non-equity incentive plan awards that are earned based wholly or in part on satisfying a Financial Reporting Measure performance goal; bonuses paid from a “bonus pool,” the size of which is determined based wholly or in part on satisfying a Financial Reporting Measure performance goal; other cash awards based on satisfaction of a Financial Reporting Measure performance goal; restricted stock, restricted stock units, performance share units, stock options, and stock appreciation rights that are granted or become vested based wholly or in part on satisfying a Financial Reporting Measure Performance Goal; and proceeds received upon the sale of shares acquired through an incentive plan that were granted or vested based wholly or in part on satisfying a Financial Reporting Measure performance goal. </w:t>
      </w:r>
    </w:p>
    <w:p>
      <w:pPr>
        <w:pStyle w:val="TextBody"/>
        <w:bidi w:val="0"/>
        <w:spacing w:before="0" w:after="120"/>
        <w:jc w:val="both"/>
        <w:rPr>
          <w:rFonts w:ascii="Calibri" w:hAnsi="Calibri"/>
          <w:color w:val="000000"/>
          <w:sz w:val="22"/>
        </w:rPr>
      </w:pPr>
      <w:r>
        <w:rPr>
          <w:rFonts w:ascii="Calibri" w:hAnsi="Calibri"/>
          <w:color w:val="000000"/>
          <w:sz w:val="22"/>
        </w:rPr>
        <w:t>(l)</w:t>
      </w:r>
    </w:p>
    <w:p>
      <w:pPr>
        <w:pStyle w:val="TextBody"/>
        <w:bidi w:val="0"/>
        <w:spacing w:before="0" w:after="120"/>
        <w:jc w:val="both"/>
        <w:rPr/>
      </w:pPr>
      <w:r>
        <w:rPr>
          <w:color w:val="000000"/>
        </w:rPr>
        <w:t>“</w:t>
      </w:r>
      <w:r>
        <w:rPr>
          <w:rFonts w:ascii="Calibri;sans-serif" w:hAnsi="Calibri;sans-serif"/>
          <w:color w:val="000000"/>
          <w:sz w:val="22"/>
          <w:u w:val="single"/>
        </w:rPr>
        <w:t>Look-Back Period</w:t>
      </w:r>
      <w:r>
        <w:rPr>
          <w:color w:val="000000"/>
        </w:rPr>
        <w:t xml:space="preserve">” </w:t>
      </w:r>
      <w:r>
        <w:rPr>
          <w:rFonts w:ascii="Calibri;sans-serif" w:hAnsi="Calibri;sans-serif"/>
          <w:color w:val="000000"/>
          <w:sz w:val="22"/>
        </w:rPr>
        <w:t>means, with respect to an Accounting Restatement, the three completed fiscal years of the Company immediately preceding the Restatement Date and any transition period (that results from a change in the Company’s fiscal year) within or immediately following those three completed fiscal years (except that a transition period that comprises a period of at least nine months shall count as a completed fiscal year).</w:t>
      </w:r>
    </w:p>
    <w:p>
      <w:pPr>
        <w:pStyle w:val="TextBody"/>
        <w:bidi w:val="0"/>
        <w:spacing w:before="0" w:after="120"/>
        <w:jc w:val="both"/>
        <w:rPr>
          <w:rFonts w:ascii="Calibri" w:hAnsi="Calibri"/>
          <w:color w:val="000000"/>
          <w:sz w:val="22"/>
        </w:rPr>
      </w:pPr>
      <w:r>
        <w:rPr>
          <w:rFonts w:ascii="Calibri" w:hAnsi="Calibri"/>
          <w:color w:val="000000"/>
          <w:sz w:val="22"/>
        </w:rPr>
        <w:t>(m)</w:t>
      </w:r>
    </w:p>
    <w:p>
      <w:pPr>
        <w:pStyle w:val="TextBody"/>
        <w:bidi w:val="0"/>
        <w:spacing w:before="0" w:after="120"/>
        <w:jc w:val="both"/>
        <w:rPr/>
      </w:pPr>
      <w:r>
        <w:rPr>
          <w:color w:val="000000"/>
        </w:rPr>
        <w:t>“</w:t>
      </w:r>
      <w:r>
        <w:rPr>
          <w:rFonts w:ascii="Calibri;sans-serif" w:hAnsi="Calibri;sans-serif"/>
          <w:color w:val="000000"/>
          <w:sz w:val="22"/>
          <w:u w:val="single"/>
        </w:rPr>
        <w:t>Policy</w:t>
      </w:r>
      <w:r>
        <w:rPr>
          <w:color w:val="000000"/>
        </w:rPr>
        <w:t xml:space="preserve">” </w:t>
      </w:r>
      <w:r>
        <w:rPr>
          <w:rFonts w:ascii="Calibri;sans-serif" w:hAnsi="Calibri;sans-serif"/>
          <w:color w:val="000000"/>
          <w:sz w:val="22"/>
        </w:rPr>
        <w:t>means this Policy on Recovery of Erroneously Awarded Compensation as the same may be amended, modified, supplemented, and/or restated from time to time.</w:t>
      </w:r>
    </w:p>
    <w:p>
      <w:pPr>
        <w:pStyle w:val="TextBody"/>
        <w:bidi w:val="0"/>
        <w:spacing w:before="0" w:after="120"/>
        <w:jc w:val="both"/>
        <w:rPr>
          <w:rFonts w:ascii="Calibri" w:hAnsi="Calibri"/>
          <w:color w:val="000000"/>
          <w:sz w:val="22"/>
        </w:rPr>
      </w:pPr>
      <w:r>
        <w:rPr>
          <w:rFonts w:ascii="Calibri" w:hAnsi="Calibri"/>
          <w:color w:val="000000"/>
          <w:sz w:val="22"/>
        </w:rPr>
        <w:t>(n)</w:t>
      </w:r>
    </w:p>
    <w:p>
      <w:pPr>
        <w:pStyle w:val="TextBody"/>
        <w:bidi w:val="0"/>
        <w:spacing w:before="0" w:after="120"/>
        <w:jc w:val="both"/>
        <w:rPr/>
      </w:pPr>
      <w:r>
        <w:rPr>
          <w:color w:val="000000"/>
        </w:rPr>
        <w:t>“</w:t>
      </w:r>
      <w:r>
        <w:rPr>
          <w:rFonts w:ascii="Calibri;sans-serif" w:hAnsi="Calibri;sans-serif"/>
          <w:color w:val="000000"/>
          <w:sz w:val="22"/>
          <w:u w:val="single"/>
        </w:rPr>
        <w:t>Received</w:t>
      </w:r>
      <w:r>
        <w:rPr>
          <w:color w:val="000000"/>
        </w:rPr>
        <w:t xml:space="preserve">” </w:t>
      </w:r>
      <w:r>
        <w:rPr>
          <w:rFonts w:ascii="Calibri;sans-serif" w:hAnsi="Calibri;sans-serif"/>
          <w:color w:val="000000"/>
          <w:sz w:val="22"/>
        </w:rPr>
        <w:t xml:space="preserve">means, with respect to Incentive-Based Compensation, actual or deemed receipt, and Incentive-Based Compensation shall be deemed “Received” in the Company’s fiscal period during which the applicable Financial Reporting Measure specified in the Incentive-Based Compensation award is attained, even if the payment or grant of such Incentive-Based Compensation occurs after the end of that period. If an equity award vests only upon satisfaction of a Financial Reporting Measure performance condition, the award shall be deemed Received in the fiscal period when it vests. Ministerial acts or other conditions necessary to effect issuance or payment, such as calculating the amount earned or obtaining Board approval of payment, do not affect the determination of the date Received. </w:t>
      </w:r>
    </w:p>
    <w:p>
      <w:pPr>
        <w:pStyle w:val="TextBody"/>
        <w:bidi w:val="0"/>
        <w:spacing w:before="0" w:after="120"/>
        <w:jc w:val="both"/>
        <w:rPr>
          <w:rFonts w:ascii="Calibri" w:hAnsi="Calibri"/>
          <w:color w:val="000000"/>
          <w:sz w:val="22"/>
        </w:rPr>
      </w:pPr>
      <w:r>
        <w:rPr>
          <w:rFonts w:ascii="Calibri" w:hAnsi="Calibri"/>
          <w:color w:val="000000"/>
          <w:sz w:val="22"/>
        </w:rPr>
        <w:t>(o)</w:t>
      </w:r>
    </w:p>
    <w:p>
      <w:pPr>
        <w:pStyle w:val="TextBody"/>
        <w:bidi w:val="0"/>
        <w:spacing w:before="0" w:after="120"/>
        <w:jc w:val="both"/>
        <w:rPr/>
      </w:pPr>
      <w:r>
        <w:rPr>
          <w:color w:val="000000"/>
        </w:rPr>
        <w:t>“</w:t>
      </w:r>
      <w:r>
        <w:rPr>
          <w:rFonts w:ascii="Calibri;sans-serif" w:hAnsi="Calibri;sans-serif"/>
          <w:color w:val="000000"/>
          <w:sz w:val="22"/>
          <w:u w:val="single"/>
        </w:rPr>
        <w:t>Restatement Date</w:t>
      </w:r>
      <w:r>
        <w:rPr>
          <w:color w:val="000000"/>
        </w:rPr>
        <w:t xml:space="preserve">” </w:t>
      </w:r>
      <w:r>
        <w:rPr>
          <w:rFonts w:ascii="Calibri;sans-serif" w:hAnsi="Calibri;sans-serif"/>
          <w:color w:val="000000"/>
          <w:sz w:val="22"/>
        </w:rPr>
        <w:t xml:space="preserve">means the earlier to occur of (i) the date the Board, a committee of the Board, or the officer or officers of the Company authorized to take such action if Board action is not required, concludes, or reasonably should have concluded, that the Company is required to prepare an Accounting </w:t>
      </w:r>
    </w:p>
    <w:tbl>
      <w:tblPr>
        <w:tblW w:w="683" w:type="dxa"/>
        <w:jc w:val="left"/>
        <w:tblInd w:w="0" w:type="dxa"/>
        <w:tblLayout w:type="fixed"/>
        <w:tblCellMar>
          <w:top w:w="28" w:type="dxa"/>
          <w:left w:w="28" w:type="dxa"/>
          <w:bottom w:w="28" w:type="dxa"/>
          <w:right w:w="28" w:type="dxa"/>
        </w:tblCellMar>
      </w:tblPr>
      <w:tblGrid>
        <w:gridCol w:w="161"/>
        <w:gridCol w:w="33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Restatement or (ii) the date a court, regulator or other legally authorized body directs the Company to prepare an Accounting Restatement, in each case regardless of if or when the restated financial statements are filed.</w:t>
      </w:r>
    </w:p>
    <w:p>
      <w:pPr>
        <w:pStyle w:val="TextBody"/>
        <w:bidi w:val="0"/>
        <w:spacing w:before="0" w:after="120"/>
        <w:jc w:val="both"/>
        <w:rPr>
          <w:rFonts w:ascii="Calibri" w:hAnsi="Calibri"/>
          <w:color w:val="000000"/>
          <w:sz w:val="22"/>
        </w:rPr>
      </w:pPr>
      <w:r>
        <w:rPr>
          <w:rFonts w:ascii="Calibri" w:hAnsi="Calibri"/>
          <w:color w:val="000000"/>
          <w:sz w:val="22"/>
        </w:rPr>
        <w:t>(p)</w:t>
      </w:r>
    </w:p>
    <w:p>
      <w:pPr>
        <w:pStyle w:val="TextBody"/>
        <w:bidi w:val="0"/>
        <w:spacing w:before="0" w:after="120"/>
        <w:jc w:val="both"/>
        <w:rPr/>
      </w:pPr>
      <w:r>
        <w:rPr>
          <w:color w:val="000000"/>
        </w:rPr>
        <w:t>“</w:t>
      </w:r>
      <w:r>
        <w:rPr>
          <w:rFonts w:ascii="Calibri;sans-serif" w:hAnsi="Calibri;sans-serif"/>
          <w:color w:val="000000"/>
          <w:sz w:val="22"/>
          <w:u w:val="single"/>
        </w:rPr>
        <w:t>SEC</w:t>
      </w:r>
      <w:r>
        <w:rPr>
          <w:color w:val="000000"/>
        </w:rPr>
        <w:t xml:space="preserve">” </w:t>
      </w:r>
      <w:r>
        <w:rPr>
          <w:rFonts w:ascii="Calibri;sans-serif" w:hAnsi="Calibri;sans-serif"/>
          <w:color w:val="000000"/>
          <w:sz w:val="22"/>
        </w:rPr>
        <w:t>means the U.S. Securities and Exchange Commission.</w:t>
      </w:r>
    </w:p>
    <w:p>
      <w:pPr>
        <w:pStyle w:val="TextBody"/>
        <w:bidi w:val="0"/>
        <w:spacing w:before="0" w:after="120"/>
        <w:jc w:val="both"/>
        <w:rPr>
          <w:rFonts w:ascii="Calibri" w:hAnsi="Calibri"/>
          <w:color w:val="000000"/>
          <w:sz w:val="22"/>
        </w:rPr>
      </w:pPr>
      <w:r>
        <w:rPr>
          <w:rFonts w:ascii="Calibri" w:hAnsi="Calibri"/>
          <w:color w:val="000000"/>
          <w:sz w:val="22"/>
        </w:rPr>
        <w:t>(q)</w:t>
      </w:r>
    </w:p>
    <w:p>
      <w:pPr>
        <w:pStyle w:val="TextBody"/>
        <w:bidi w:val="0"/>
        <w:spacing w:before="0" w:after="120"/>
        <w:jc w:val="both"/>
        <w:rPr/>
      </w:pPr>
      <w:r>
        <w:rPr>
          <w:color w:val="000000"/>
        </w:rPr>
        <w:t>“</w:t>
      </w:r>
      <w:r>
        <w:rPr>
          <w:rFonts w:ascii="Calibri;sans-serif" w:hAnsi="Calibri;sans-serif"/>
          <w:color w:val="000000"/>
          <w:sz w:val="22"/>
          <w:u w:val="single"/>
        </w:rPr>
        <w:t>Senior Executives</w:t>
      </w:r>
      <w:r>
        <w:rPr>
          <w:color w:val="000000"/>
        </w:rPr>
        <w:t xml:space="preserve">” </w:t>
      </w:r>
      <w:r>
        <w:rPr>
          <w:rFonts w:ascii="Calibri;sans-serif" w:hAnsi="Calibri;sans-serif"/>
          <w:color w:val="000000"/>
          <w:sz w:val="22"/>
        </w:rPr>
        <w:t xml:space="preserve">means any person who was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performed a policy-making function, or any other person who performed similar policy-making functions for the Company and any other “key employees” who were designated as “Senior Executives” by the Committee. Executive officers of the Company’s parents or subsidiaries may be deemed Senior Executives if they perform policy-making functions for the Company. For purposes of this definition, policy-making function is not intended to include policy-making functions that are not significant. All executive officers of the Company identified by the Board pursuant to Item 401(b) of Regulation S-K shall be deemed Senior Executives. </w:t>
      </w:r>
    </w:p>
    <w:p>
      <w:pPr>
        <w:pStyle w:val="TextBody"/>
        <w:bidi w:val="0"/>
        <w:spacing w:before="0" w:after="120"/>
        <w:jc w:val="both"/>
        <w:rPr>
          <w:rFonts w:ascii="Calibri" w:hAnsi="Calibri"/>
          <w:color w:val="000000"/>
          <w:sz w:val="22"/>
        </w:rPr>
      </w:pPr>
      <w:r>
        <w:rPr>
          <w:rFonts w:ascii="Calibri" w:hAnsi="Calibri"/>
          <w:color w:val="000000"/>
          <w:sz w:val="22"/>
        </w:rPr>
        <w:t>(r)</w:t>
      </w:r>
    </w:p>
    <w:p>
      <w:pPr>
        <w:pStyle w:val="TextBody"/>
        <w:bidi w:val="0"/>
        <w:spacing w:before="0" w:after="120"/>
        <w:jc w:val="both"/>
        <w:rPr/>
      </w:pPr>
      <w:r>
        <w:rPr>
          <w:color w:val="000000"/>
        </w:rPr>
        <w:t>“</w:t>
      </w:r>
      <w:r>
        <w:rPr>
          <w:rFonts w:ascii="Calibri;sans-serif" w:hAnsi="Calibri;sans-serif"/>
          <w:color w:val="000000"/>
          <w:sz w:val="22"/>
          <w:u w:val="single"/>
        </w:rPr>
        <w:t>TSR</w:t>
      </w:r>
      <w:r>
        <w:rPr>
          <w:color w:val="000000"/>
        </w:rPr>
        <w:t xml:space="preserve">” </w:t>
      </w:r>
      <w:r>
        <w:rPr>
          <w:rFonts w:ascii="Calibri;sans-serif" w:hAnsi="Calibri;sans-serif"/>
          <w:color w:val="000000"/>
          <w:sz w:val="22"/>
        </w:rPr>
        <w:t>means total shareholder return.</w:t>
      </w:r>
    </w:p>
    <w:p>
      <w:pPr>
        <w:pStyle w:val="TextBody"/>
        <w:bidi w:val="0"/>
        <w:spacing w:before="0" w:after="120"/>
        <w:jc w:val="left"/>
        <w:rPr>
          <w:rFonts w:ascii="Calibri" w:hAnsi="Calibri"/>
          <w:b/>
          <w:color w:val="000000"/>
          <w:sz w:val="22"/>
        </w:rPr>
      </w:pPr>
      <w:r>
        <w:rPr>
          <w:rFonts w:ascii="Calibri" w:hAnsi="Calibri"/>
          <w:b/>
          <w:color w:val="000000"/>
          <w:sz w:val="22"/>
        </w:rPr>
        <w:t>3.</w:t>
      </w:r>
    </w:p>
    <w:p>
      <w:pPr>
        <w:pStyle w:val="TextBody"/>
        <w:bidi w:val="0"/>
        <w:spacing w:before="0" w:after="120"/>
        <w:jc w:val="left"/>
        <w:rPr>
          <w:rFonts w:ascii="Calibri;sans-serif" w:hAnsi="Calibri;sans-serif"/>
          <w:b/>
          <w:color w:val="000000"/>
          <w:sz w:val="22"/>
          <w:u w:val="single"/>
        </w:rPr>
      </w:pPr>
      <w:r>
        <w:rPr>
          <w:rFonts w:ascii="Calibri;sans-serif" w:hAnsi="Calibri;sans-serif"/>
          <w:b/>
          <w:color w:val="000000"/>
          <w:sz w:val="22"/>
          <w:u w:val="single"/>
        </w:rPr>
        <w:t>Administration of Policy</w:t>
      </w:r>
    </w:p>
    <w:p>
      <w:pPr>
        <w:pStyle w:val="TextBody"/>
        <w:bidi w:val="0"/>
        <w:spacing w:before="0" w:after="120"/>
        <w:jc w:val="both"/>
        <w:rPr>
          <w:rFonts w:ascii="Calibri" w:hAnsi="Calibri"/>
          <w:color w:val="000000"/>
          <w:sz w:val="22"/>
        </w:rPr>
      </w:pPr>
      <w:r>
        <w:rPr>
          <w:rFonts w:ascii="Calibri" w:hAnsi="Calibri"/>
          <w:color w:val="000000"/>
          <w:sz w:val="22"/>
        </w:rPr>
        <w:t>(a)</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The Policy shall be administrated by the Committee. All questions of interpretation or application of this Policy shall be determined by the Committee. All Committee decisions shall be final and binding upon all persons and shall be afforded the maximum deference permitted under applicable law. The Committee is authorized to make all determinations necessary, appropriate or advisable for the administration of this Policy and to use any of the Company’s resources it deems appropriate to recoup Erroneously Awarded Compensation.</w:t>
      </w:r>
    </w:p>
    <w:p>
      <w:pPr>
        <w:pStyle w:val="TextBody"/>
        <w:bidi w:val="0"/>
        <w:spacing w:before="0" w:after="120"/>
        <w:jc w:val="both"/>
        <w:rPr>
          <w:rFonts w:ascii="Calibri" w:hAnsi="Calibri"/>
          <w:color w:val="000000"/>
          <w:sz w:val="22"/>
        </w:rPr>
      </w:pPr>
      <w:r>
        <w:rPr>
          <w:rFonts w:ascii="Calibri" w:hAnsi="Calibri"/>
          <w:color w:val="000000"/>
          <w:sz w:val="22"/>
        </w:rPr>
        <w:t>(b)</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Determinations of financial and/or accounting irregularities for purposes of this Policy shall be made by the Committee independently of, and the Committee shall not be bound by, determinations by management or by any other committee of the Board.</w:t>
      </w:r>
    </w:p>
    <w:p>
      <w:pPr>
        <w:pStyle w:val="TextBody"/>
        <w:bidi w:val="0"/>
        <w:spacing w:before="0" w:after="120"/>
        <w:jc w:val="both"/>
        <w:rPr>
          <w:rFonts w:ascii="Calibri" w:hAnsi="Calibri"/>
          <w:color w:val="000000"/>
          <w:sz w:val="22"/>
        </w:rPr>
      </w:pPr>
      <w:r>
        <w:rPr>
          <w:rFonts w:ascii="Calibri" w:hAnsi="Calibri"/>
          <w:color w:val="000000"/>
          <w:sz w:val="22"/>
        </w:rPr>
        <w:t>(c)</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In the administration of this Policy, the Committee is authorized and directed to consult with the full Board or such other committees of the Board as may be necessary or appropriate as to matters within the scope of such other committee’s responsibility and authority. Subject to any limitation under applicable law, the Committee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pStyle w:val="TextBody"/>
        <w:bidi w:val="0"/>
        <w:spacing w:before="0" w:after="120"/>
        <w:jc w:val="left"/>
        <w:rPr>
          <w:rFonts w:ascii="Calibri" w:hAnsi="Calibri"/>
          <w:b/>
          <w:color w:val="000000"/>
          <w:sz w:val="22"/>
        </w:rPr>
      </w:pPr>
      <w:r>
        <w:rPr>
          <w:rFonts w:ascii="Calibri" w:hAnsi="Calibri"/>
          <w:b/>
          <w:color w:val="000000"/>
          <w:sz w:val="22"/>
        </w:rPr>
        <w:t>4.</w:t>
      </w:r>
    </w:p>
    <w:p>
      <w:pPr>
        <w:pStyle w:val="TextBody"/>
        <w:bidi w:val="0"/>
        <w:spacing w:before="0" w:after="120"/>
        <w:jc w:val="left"/>
        <w:rPr>
          <w:rFonts w:ascii="Calibri;sans-serif" w:hAnsi="Calibri;sans-serif"/>
          <w:b/>
          <w:color w:val="000000"/>
          <w:sz w:val="22"/>
          <w:u w:val="single"/>
        </w:rPr>
      </w:pPr>
      <w:r>
        <w:rPr>
          <w:rFonts w:ascii="Calibri;sans-serif" w:hAnsi="Calibri;sans-serif"/>
          <w:b/>
          <w:color w:val="000000"/>
          <w:sz w:val="22"/>
          <w:u w:val="single"/>
        </w:rPr>
        <w:t>Accounting Restatements; Recoupment</w:t>
      </w:r>
    </w:p>
    <w:p>
      <w:pPr>
        <w:pStyle w:val="TextBody"/>
        <w:bidi w:val="0"/>
        <w:spacing w:before="0" w:after="120"/>
        <w:jc w:val="both"/>
        <w:rPr>
          <w:rFonts w:ascii="Calibri" w:hAnsi="Calibri"/>
          <w:color w:val="000000"/>
          <w:sz w:val="22"/>
        </w:rPr>
      </w:pPr>
      <w:r>
        <w:rPr>
          <w:rFonts w:ascii="Calibri" w:hAnsi="Calibri"/>
          <w:color w:val="000000"/>
          <w:sz w:val="22"/>
        </w:rPr>
        <w:t>(a)</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 xml:space="preserve">If the Company is required to prepare an Accounting Restatement, the Company shall determine, in accordance with this Policy and the Applicable Rules, the amount of any Erroneously Awarded Compensation for each Senior Executive in connection with such Accounting Restatement, irrespective of any fault, misconduct or responsibility of any Senior Executive for the Accounting Restatement, and thereafter the Company shall reasonably promptly recover such amount of Erroneously Awarded Compensation. In connection with the foregoing, the Committee, which may act in conjunction with the Company’s Audit Committee, shall take all such actions required by this Policy and the Applicable Rules. </w:t>
      </w:r>
    </w:p>
    <w:p>
      <w:pPr>
        <w:pStyle w:val="TextBody"/>
        <w:bidi w:val="0"/>
        <w:spacing w:before="0" w:after="120"/>
        <w:jc w:val="both"/>
        <w:rPr>
          <w:rFonts w:ascii="Calibri" w:hAnsi="Calibri"/>
          <w:color w:val="000000"/>
          <w:sz w:val="22"/>
        </w:rPr>
      </w:pPr>
      <w:r>
        <w:rPr>
          <w:rFonts w:ascii="Calibri" w:hAnsi="Calibri"/>
          <w:color w:val="000000"/>
          <w:sz w:val="22"/>
        </w:rPr>
        <w:t>(b)</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 xml:space="preserve">If there was Erroneously Awarded Compensation, the Committee shall determine, in its sole discretion, the timing and method(s) for promptly recouping the same, which methods may include, without limitation, one or more of the following: (i) requiring reimbursement of any Erroneously Awarded Compensation; (ii) requiring reimbursement of any equity based compensation awarded; (iii) cancelling outstanding cash or equity-based awards, whether vested or unvested or paid or unpaid; (iv) cancelling or offsetting against any compensation otherwise owed by the Company to the Senior Executive, including any future cash or equity-based awards; (v) requiring the forfeiture of deferred compensation, subject to compliance with Section 409A of the </w:t>
      </w:r>
    </w:p>
    <w:tbl>
      <w:tblPr>
        <w:tblW w:w="683" w:type="dxa"/>
        <w:jc w:val="left"/>
        <w:tblInd w:w="0" w:type="dxa"/>
        <w:tblLayout w:type="fixed"/>
        <w:tblCellMar>
          <w:top w:w="28" w:type="dxa"/>
          <w:left w:w="28" w:type="dxa"/>
          <w:bottom w:w="28" w:type="dxa"/>
          <w:right w:w="28" w:type="dxa"/>
        </w:tblCellMar>
      </w:tblPr>
      <w:tblGrid>
        <w:gridCol w:w="161"/>
        <w:gridCol w:w="33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-3-</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Internal Revenue Code and the regulations promulgated thereunder; (vi) seeking recovery of any gain realized on the vesting, exercise, settlement, sale, transfer, or other disposition of any equity-based awards; and (viii) pursuing any other reasonable remedies. Subject to compliance with applicable law, the Committee may effect recoupment under this Policy from any amount otherwise payable to a Senior Executive, including amounts payable to such individual under any otherwise applicable Company plan or program, including base salary, bonuses or commissions and compensation previously deferred by the Senior Executive.</w:t>
      </w:r>
    </w:p>
    <w:p>
      <w:pPr>
        <w:pStyle w:val="TextBody"/>
        <w:bidi w:val="0"/>
        <w:spacing w:before="0" w:after="120"/>
        <w:jc w:val="both"/>
        <w:rPr>
          <w:rFonts w:ascii="Calibri" w:hAnsi="Calibri"/>
          <w:color w:val="000000"/>
          <w:sz w:val="22"/>
        </w:rPr>
      </w:pPr>
      <w:r>
        <w:rPr>
          <w:rFonts w:ascii="Calibri" w:hAnsi="Calibri"/>
          <w:color w:val="000000"/>
          <w:sz w:val="22"/>
        </w:rPr>
        <w:t>(c)</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To the extent that the Committee determines to recoup Erroneously Awarded Compensation from a Senior Executive by requiring the repayment of such Erroneously Awarded Compensation to the Company, and such Senior Executive fails to repay all Erroneously Awarded Compensation to the Company when due, the Company may take all actions reasonable and appropriate to recover such Erroneously Awarded Compensation from the applicable Senior Executive. The applicable Senior Executive shall be required to reimburse the Company for any and all expenses reasonably incurred (including legal fees) by the Company in recovering such Erroneously Awarded Compensation in accordance with the immediately preceding sentence.</w:t>
      </w:r>
    </w:p>
    <w:p>
      <w:pPr>
        <w:pStyle w:val="TextBody"/>
        <w:bidi w:val="0"/>
        <w:spacing w:before="0" w:after="120"/>
        <w:jc w:val="both"/>
        <w:rPr>
          <w:rFonts w:ascii="Calibri" w:hAnsi="Calibri"/>
          <w:color w:val="000000"/>
          <w:sz w:val="22"/>
        </w:rPr>
      </w:pPr>
      <w:r>
        <w:rPr>
          <w:rFonts w:ascii="Calibri" w:hAnsi="Calibri"/>
          <w:color w:val="000000"/>
          <w:sz w:val="22"/>
        </w:rPr>
        <w:t>(d)</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 xml:space="preserve">In the event of an Accounting Restatement, except to the extent permitted by the Applicable Rules, the Committee will generally treat all Senior Executives (including former employees) the same with respect to any actions seeking to recoup Erroneously Awarded Compensation. </w:t>
      </w:r>
    </w:p>
    <w:p>
      <w:pPr>
        <w:pStyle w:val="TextBody"/>
        <w:bidi w:val="0"/>
        <w:spacing w:before="0" w:after="120"/>
        <w:jc w:val="left"/>
        <w:rPr>
          <w:rFonts w:ascii="Calibri" w:hAnsi="Calibri"/>
          <w:b/>
          <w:color w:val="000000"/>
          <w:sz w:val="22"/>
        </w:rPr>
      </w:pPr>
      <w:r>
        <w:rPr>
          <w:rFonts w:ascii="Calibri" w:hAnsi="Calibri"/>
          <w:b/>
          <w:color w:val="000000"/>
          <w:sz w:val="22"/>
        </w:rPr>
        <w:t>5.</w:t>
      </w:r>
    </w:p>
    <w:p>
      <w:pPr>
        <w:pStyle w:val="TextBody"/>
        <w:bidi w:val="0"/>
        <w:spacing w:before="0" w:after="120"/>
        <w:jc w:val="left"/>
        <w:rPr>
          <w:rFonts w:ascii="Calibri;sans-serif" w:hAnsi="Calibri;sans-serif"/>
          <w:b/>
          <w:color w:val="000000"/>
          <w:sz w:val="22"/>
          <w:u w:val="single"/>
        </w:rPr>
      </w:pPr>
      <w:r>
        <w:rPr>
          <w:rFonts w:ascii="Calibri;sans-serif" w:hAnsi="Calibri;sans-serif"/>
          <w:b/>
          <w:color w:val="000000"/>
          <w:sz w:val="22"/>
          <w:u w:val="single"/>
        </w:rPr>
        <w:t>Impracticability</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Notwithstanding anything to the contrary herein, the Company shall not be required to recoup Erroneously Awarded Compensation under this Policy if the Company’s committee of independent directors responsible for executive compensation decisions, or in the absence of such a committee, a majority of the independent directors serving on the Board, has determined that recovery would be impracticable in accordance with the Applicable Rules and subject to the procedural and disclosure requirements in the Applicable Rules.</w:t>
      </w:r>
    </w:p>
    <w:p>
      <w:pPr>
        <w:pStyle w:val="TextBody"/>
        <w:bidi w:val="0"/>
        <w:spacing w:before="0" w:after="120"/>
        <w:jc w:val="left"/>
        <w:rPr>
          <w:rFonts w:ascii="Calibri" w:hAnsi="Calibri"/>
          <w:b/>
          <w:color w:val="000000"/>
          <w:sz w:val="22"/>
        </w:rPr>
      </w:pPr>
      <w:r>
        <w:rPr>
          <w:rFonts w:ascii="Calibri" w:hAnsi="Calibri"/>
          <w:b/>
          <w:color w:val="000000"/>
          <w:sz w:val="22"/>
        </w:rPr>
        <w:t>6.</w:t>
      </w:r>
    </w:p>
    <w:p>
      <w:pPr>
        <w:pStyle w:val="TextBody"/>
        <w:bidi w:val="0"/>
        <w:spacing w:before="0" w:after="120"/>
        <w:jc w:val="left"/>
        <w:rPr>
          <w:rFonts w:ascii="Calibri;sans-serif" w:hAnsi="Calibri;sans-serif"/>
          <w:b/>
          <w:color w:val="000000"/>
          <w:sz w:val="22"/>
          <w:u w:val="single"/>
        </w:rPr>
      </w:pPr>
      <w:r>
        <w:rPr>
          <w:rFonts w:ascii="Calibri;sans-serif" w:hAnsi="Calibri;sans-serif"/>
          <w:b/>
          <w:color w:val="000000"/>
          <w:sz w:val="22"/>
          <w:u w:val="single"/>
        </w:rPr>
        <w:t>Other Recoupment Rights</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The Board intends that this Policy shall be applied to the fullest extent of the law. Any right of recoupment under this Policy is in addition to, and not in lieu of, any other remedies or rights of recoupment that may be available to the Company under applicable law (including, without limitation, Section 304 of the U.S. Sarbanes-Oxley Act of 2002, as amended, or Section 954 of the U.S. Dodd-Frank Wall Street Reform and Consumer Protection Act of 2010, as amended), pursuant to the terms of any other policy of the Company, pursuant to the terms of any employment agreement, equity award agreement, severance or other agreement, and any other legal remedies available to the Company. Nothing herein, and no recoupment or recovery as contemplated by this Policy, shall (i) limit any claims, damages or other legal remedies the Company or any of its affiliates may have against a Senior Executive arising out of or resulting from any actions or omissions by the Senior Executive or (ii) limit the Company’s ability to seek recovery, in appropriate circumstances (including circumstances beyond the scope of this Policy) as permitted by applicable law, of any amounts from any employee, whether or not the employee is a Senior Executive.</w:t>
      </w:r>
    </w:p>
    <w:p>
      <w:pPr>
        <w:pStyle w:val="TextBody"/>
        <w:bidi w:val="0"/>
        <w:spacing w:before="0" w:after="120"/>
        <w:jc w:val="left"/>
        <w:rPr>
          <w:rFonts w:ascii="Calibri" w:hAnsi="Calibri"/>
          <w:b/>
          <w:color w:val="000000"/>
          <w:sz w:val="22"/>
        </w:rPr>
      </w:pPr>
      <w:r>
        <w:rPr>
          <w:rFonts w:ascii="Calibri" w:hAnsi="Calibri"/>
          <w:b/>
          <w:color w:val="000000"/>
          <w:sz w:val="22"/>
        </w:rPr>
        <w:t>7.</w:t>
      </w:r>
    </w:p>
    <w:p>
      <w:pPr>
        <w:pStyle w:val="TextBody"/>
        <w:bidi w:val="0"/>
        <w:spacing w:before="0" w:after="120"/>
        <w:jc w:val="left"/>
        <w:rPr>
          <w:rFonts w:ascii="Calibri;sans-serif" w:hAnsi="Calibri;sans-serif"/>
          <w:b/>
          <w:color w:val="000000"/>
          <w:sz w:val="22"/>
          <w:u w:val="single"/>
        </w:rPr>
      </w:pPr>
      <w:r>
        <w:rPr>
          <w:rFonts w:ascii="Calibri;sans-serif" w:hAnsi="Calibri;sans-serif"/>
          <w:b/>
          <w:color w:val="000000"/>
          <w:sz w:val="22"/>
          <w:u w:val="single"/>
        </w:rPr>
        <w:t>No Indemnification or Company-Paid Insurance</w:t>
      </w:r>
    </w:p>
    <w:p>
      <w:pPr>
        <w:pStyle w:val="TextBody"/>
        <w:bidi w:val="0"/>
        <w:spacing w:before="0" w:after="120"/>
        <w:jc w:val="both"/>
        <w:rPr>
          <w:rFonts w:ascii="Times New Roman" w:hAnsi="Times New Roman"/>
          <w:sz w:val="20"/>
        </w:rPr>
      </w:pPr>
      <w:r>
        <w:rPr>
          <w:rFonts w:ascii="Calibri;sans-serif" w:hAnsi="Calibri;sans-serif"/>
          <w:color w:val="000000"/>
          <w:sz w:val="22"/>
        </w:rPr>
        <w:t>Notwithstanding the terms of any indemnification or insurance policy or any contractual arrangement with any Senior Executive that may be interpreted to the contrary: (a) the Company shall not indemnify any Senior Executive against (i) the loss of any Erroneously Awarded Compensation that is recouped, repaid, returned or recovered pursuant to the terms of this Policy; or (ii) any claims relating to the Company’s enforcement of its rights under this Policy; and (b) the Company is prohibited from paying or reimbursing a Senior Executive for the cost of or premiums of any third-party insurance purchased to fund any potential obligations of a Senior Executive under this Policy. Further, the Company shall not enter into any agreement that exempts any Incentive-Based Compensation from the application of this Policy or that waives the Company’s right to recoup any Erroneously</w:t>
      </w:r>
      <w:r>
        <w:rPr>
          <w:rFonts w:ascii="Times New Roman" w:hAnsi="Times New Roman"/>
          <w:color w:val="000000"/>
          <w:sz w:val="20"/>
        </w:rPr>
        <w:t xml:space="preserve"> </w:t>
      </w:r>
    </w:p>
    <w:tbl>
      <w:tblPr>
        <w:tblW w:w="683" w:type="dxa"/>
        <w:jc w:val="left"/>
        <w:tblInd w:w="0" w:type="dxa"/>
        <w:tblLayout w:type="fixed"/>
        <w:tblCellMar>
          <w:top w:w="28" w:type="dxa"/>
          <w:left w:w="28" w:type="dxa"/>
          <w:bottom w:w="28" w:type="dxa"/>
          <w:right w:w="28" w:type="dxa"/>
        </w:tblCellMar>
      </w:tblPr>
      <w:tblGrid>
        <w:gridCol w:w="161"/>
        <w:gridCol w:w="33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Awarded Compensation, and this Policy shall supersede any such agreement (whether entered into before, on or after the Effective Date).</w:t>
      </w:r>
    </w:p>
    <w:p>
      <w:pPr>
        <w:pStyle w:val="TextBody"/>
        <w:bidi w:val="0"/>
        <w:spacing w:before="0" w:after="120"/>
        <w:jc w:val="left"/>
        <w:rPr>
          <w:rFonts w:ascii="Calibri" w:hAnsi="Calibri"/>
          <w:b/>
          <w:color w:val="000000"/>
          <w:sz w:val="22"/>
        </w:rPr>
      </w:pPr>
      <w:r>
        <w:rPr>
          <w:rFonts w:ascii="Calibri" w:hAnsi="Calibri"/>
          <w:b/>
          <w:color w:val="000000"/>
          <w:sz w:val="22"/>
        </w:rPr>
        <w:t>8.</w:t>
      </w:r>
    </w:p>
    <w:p>
      <w:pPr>
        <w:pStyle w:val="TextBody"/>
        <w:bidi w:val="0"/>
        <w:spacing w:before="0" w:after="120"/>
        <w:jc w:val="left"/>
        <w:rPr>
          <w:rFonts w:ascii="Calibri;sans-serif" w:hAnsi="Calibri;sans-serif"/>
          <w:b/>
          <w:color w:val="000000"/>
          <w:sz w:val="22"/>
          <w:u w:val="single"/>
        </w:rPr>
      </w:pPr>
      <w:r>
        <w:rPr>
          <w:rFonts w:ascii="Calibri;sans-serif" w:hAnsi="Calibri;sans-serif"/>
          <w:b/>
          <w:color w:val="000000"/>
          <w:sz w:val="22"/>
          <w:u w:val="single"/>
        </w:rPr>
        <w:t xml:space="preserve">Committee Indemnification </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No members of the Committee, nor any other members of the Board who assist in the administration of this Policy, nor any officer of employee of the Company authorized and empowered by the Committee who assists in the administration of this Policy shall be personally liable for any action, determination or interpretation made with respect to this Policy, and each of the foregoing shall be fully indemnified by the Company to the fullest extent under applicable law and Company policy with respect to any such action, determination or interpretation. The foregoing sentence shall not limit any other rights to indemnification of the members of the Board or any officer of employee of the Company under applicable law, Company policy or contractual arrangement.</w:t>
      </w:r>
    </w:p>
    <w:p>
      <w:pPr>
        <w:pStyle w:val="TextBody"/>
        <w:bidi w:val="0"/>
        <w:spacing w:before="0" w:after="120"/>
        <w:jc w:val="left"/>
        <w:rPr>
          <w:rFonts w:ascii="Calibri" w:hAnsi="Calibri"/>
          <w:b/>
          <w:color w:val="000000"/>
          <w:sz w:val="22"/>
        </w:rPr>
      </w:pPr>
      <w:r>
        <w:rPr>
          <w:rFonts w:ascii="Calibri" w:hAnsi="Calibri"/>
          <w:b/>
          <w:color w:val="000000"/>
          <w:sz w:val="22"/>
        </w:rPr>
        <w:t>9.</w:t>
      </w:r>
    </w:p>
    <w:p>
      <w:pPr>
        <w:pStyle w:val="TextBody"/>
        <w:bidi w:val="0"/>
        <w:spacing w:before="0" w:after="120"/>
        <w:jc w:val="left"/>
        <w:rPr>
          <w:rFonts w:ascii="Calibri;sans-serif" w:hAnsi="Calibri;sans-serif"/>
          <w:b/>
          <w:color w:val="000000"/>
          <w:sz w:val="22"/>
          <w:u w:val="single"/>
        </w:rPr>
      </w:pPr>
      <w:r>
        <w:rPr>
          <w:rFonts w:ascii="Calibri;sans-serif" w:hAnsi="Calibri;sans-serif"/>
          <w:b/>
          <w:color w:val="000000"/>
          <w:sz w:val="22"/>
          <w:u w:val="single"/>
        </w:rPr>
        <w:t>Retroactive Application</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This Policy applies to any Incentive-Based Compensation that is Received by a Senior Executive on or after the Effective Date, even if such Incentive-Based Compensation was approved, awarded, granted or paid to such Senior Executive prior to the Effective Date. Without limiting the generality of Section 4, and subject to applicable law, the Committee may recoup Erroneously Awarded Compensation under this Policy from any amount of compensation approved, awarded, granted, payable or paid to the Senior Executive prior to, on or after the Effective Date.</w:t>
      </w:r>
    </w:p>
    <w:p>
      <w:pPr>
        <w:pStyle w:val="TextBody"/>
        <w:bidi w:val="0"/>
        <w:spacing w:before="0" w:after="120"/>
        <w:jc w:val="left"/>
        <w:rPr>
          <w:rFonts w:ascii="Calibri" w:hAnsi="Calibri"/>
          <w:b/>
          <w:color w:val="000000"/>
          <w:sz w:val="22"/>
        </w:rPr>
      </w:pPr>
      <w:r>
        <w:rPr>
          <w:rFonts w:ascii="Calibri" w:hAnsi="Calibri"/>
          <w:b/>
          <w:color w:val="000000"/>
          <w:sz w:val="22"/>
        </w:rPr>
        <w:t>10.</w:t>
      </w:r>
    </w:p>
    <w:p>
      <w:pPr>
        <w:pStyle w:val="TextBody"/>
        <w:bidi w:val="0"/>
        <w:spacing w:before="0" w:after="120"/>
        <w:jc w:val="left"/>
        <w:rPr>
          <w:rFonts w:ascii="Calibri;sans-serif" w:hAnsi="Calibri;sans-serif"/>
          <w:b/>
          <w:color w:val="000000"/>
          <w:sz w:val="22"/>
          <w:u w:val="single"/>
        </w:rPr>
      </w:pPr>
      <w:r>
        <w:rPr>
          <w:rFonts w:ascii="Calibri;sans-serif" w:hAnsi="Calibri;sans-serif"/>
          <w:b/>
          <w:color w:val="000000"/>
          <w:sz w:val="22"/>
          <w:u w:val="single"/>
        </w:rPr>
        <w:t>Notice to Senior Executives</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The Company shall provide notice and seek written agreement to this Policy from each Senior Executive in form attached hereto; provided, that the failure to obtain such agreement shall have no impact on the applicability or enforceability of this Policy.</w:t>
      </w:r>
    </w:p>
    <w:p>
      <w:pPr>
        <w:pStyle w:val="TextBody"/>
        <w:bidi w:val="0"/>
        <w:spacing w:before="0" w:after="120"/>
        <w:jc w:val="left"/>
        <w:rPr>
          <w:rFonts w:ascii="Calibri" w:hAnsi="Calibri"/>
          <w:b/>
          <w:color w:val="000000"/>
          <w:sz w:val="22"/>
        </w:rPr>
      </w:pPr>
      <w:r>
        <w:rPr>
          <w:rFonts w:ascii="Calibri" w:hAnsi="Calibri"/>
          <w:b/>
          <w:color w:val="000000"/>
          <w:sz w:val="22"/>
        </w:rPr>
        <w:t>11.</w:t>
      </w:r>
    </w:p>
    <w:p>
      <w:pPr>
        <w:pStyle w:val="TextBody"/>
        <w:bidi w:val="0"/>
        <w:spacing w:before="0" w:after="120"/>
        <w:jc w:val="left"/>
        <w:rPr>
          <w:rFonts w:ascii="Calibri;sans-serif" w:hAnsi="Calibri;sans-serif"/>
          <w:b/>
          <w:color w:val="000000"/>
          <w:sz w:val="22"/>
          <w:u w:val="single"/>
        </w:rPr>
      </w:pPr>
      <w:r>
        <w:rPr>
          <w:rFonts w:ascii="Calibri;sans-serif" w:hAnsi="Calibri;sans-serif"/>
          <w:b/>
          <w:color w:val="000000"/>
          <w:sz w:val="22"/>
          <w:u w:val="single"/>
        </w:rPr>
        <w:t>Amendment and Termination; Interpretation; Successors</w:t>
      </w:r>
    </w:p>
    <w:p>
      <w:pPr>
        <w:pStyle w:val="TextBody"/>
        <w:bidi w:val="0"/>
        <w:spacing w:before="0" w:after="120"/>
        <w:jc w:val="both"/>
        <w:rPr>
          <w:rFonts w:ascii="Calibri" w:hAnsi="Calibri"/>
          <w:color w:val="000000"/>
          <w:sz w:val="22"/>
        </w:rPr>
      </w:pPr>
      <w:r>
        <w:rPr>
          <w:rFonts w:ascii="Calibri" w:hAnsi="Calibri"/>
          <w:color w:val="000000"/>
          <w:sz w:val="22"/>
        </w:rPr>
        <w:t>(a)</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The Board may amend, modify, supplement, restate, rescind, terminate or replace all or any portion of this Policy at any time and from time to time in its sole discretion, including, without limitation, as the Board deems necessary to reflect and comply with applicable law or any of the Applicable Rules. To the extent of any inconsistency between this Policy and any of the Applicable Rules, the Applicable Rules shall control and this Policy shall be deemed amended to incorporate such Applicable Rules unless the Committee shall expressly determine otherwise. Notwithstanding anything to the contrary herein, no amendment, modification, supplement, restatement, rescission, termination or replacement of this Policy shall be effective if such amendment, modification, supplement, restatement, rescission, termination or replacement would (after taking into account any actions taken by the Company contemporaneously with such amendment, modification, supplement, restatement, rescission, termination or replacement) cause the Company to violate any of the Applicable Rules or other applicable law.</w:t>
      </w:r>
    </w:p>
    <w:p>
      <w:pPr>
        <w:pStyle w:val="TextBody"/>
        <w:bidi w:val="0"/>
        <w:spacing w:before="0" w:after="120"/>
        <w:jc w:val="both"/>
        <w:rPr>
          <w:rFonts w:ascii="Calibri" w:hAnsi="Calibri"/>
          <w:color w:val="000000"/>
          <w:sz w:val="22"/>
        </w:rPr>
      </w:pPr>
      <w:r>
        <w:rPr>
          <w:rFonts w:ascii="Calibri" w:hAnsi="Calibri"/>
          <w:color w:val="000000"/>
          <w:sz w:val="22"/>
        </w:rPr>
        <w:t>(b)</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 xml:space="preserve">This Policy shall be binding and enforceable against all Senior Executives and their beneficiaries, heirs, executors, administrators or other legal representatives, to the fullest extent of the law. </w:t>
      </w:r>
    </w:p>
    <w:p>
      <w:pPr>
        <w:pStyle w:val="TextBody"/>
        <w:bidi w:val="0"/>
        <w:spacing w:before="0" w:after="240"/>
        <w:jc w:val="both"/>
        <w:rPr/>
      </w:pPr>
      <w:r>
        <w:rPr/>
        <w:t> </w:t>
      </w:r>
    </w:p>
    <w:tbl>
      <w:tblPr>
        <w:tblW w:w="683" w:type="dxa"/>
        <w:jc w:val="left"/>
        <w:tblInd w:w="0" w:type="dxa"/>
        <w:tblLayout w:type="fixed"/>
        <w:tblCellMar>
          <w:top w:w="28" w:type="dxa"/>
          <w:left w:w="28" w:type="dxa"/>
          <w:bottom w:w="28" w:type="dxa"/>
          <w:right w:w="28" w:type="dxa"/>
        </w:tblCellMar>
      </w:tblPr>
      <w:tblGrid>
        <w:gridCol w:w="161"/>
        <w:gridCol w:w="33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hyperlink" Target="https://www.sec.gov/Archives/edgar/data/876343/000149315218015405/ex2-1.htm" TargetMode="External"/><Relationship Id="rId10" Type="http://schemas.openxmlformats.org/officeDocument/2006/relationships/hyperlink" Target="https://www.sec.gov/Archives/edgar/data/876343/000149315218006559/ex3-1.htm" TargetMode="External"/><Relationship Id="rId11" Type="http://schemas.openxmlformats.org/officeDocument/2006/relationships/hyperlink" Target="https://www.sec.gov/Archives/edgar/data/876343/000149315219012036/ex3-1.htm" TargetMode="External"/><Relationship Id="rId12" Type="http://schemas.openxmlformats.org/officeDocument/2006/relationships/hyperlink" Target="https://www.sec.gov/Archives/edgar/data/876343/000149315219012036/ex3-2.htm" TargetMode="External"/><Relationship Id="rId13" Type="http://schemas.openxmlformats.org/officeDocument/2006/relationships/hyperlink" Target="https://www.sec.gov/Archives/edgar/data/876343/000149315221005814/ex4-2.htm" TargetMode="External"/><Relationship Id="rId14" Type="http://schemas.openxmlformats.org/officeDocument/2006/relationships/hyperlink" Target="https://www.sec.gov/Archives/edgar/data/876343/000149315222022085/ex10-1.htm" TargetMode="External"/><Relationship Id="rId15" Type="http://schemas.openxmlformats.org/officeDocument/2006/relationships/hyperlink" Target="https://www.sec.gov/Archives/edgar/data/876343/000149315222031359/ex10-2.htm" TargetMode="External"/><Relationship Id="rId16" Type="http://schemas.openxmlformats.org/officeDocument/2006/relationships/hyperlink" Target="https://www.sec.gov/Archives/edgar/data/876343/000149315222031359/ex10-3.htm" TargetMode="External"/><Relationship Id="rId17" Type="http://schemas.openxmlformats.org/officeDocument/2006/relationships/hyperlink" Target="https://www.sec.gov/Archives/edgar/data/876343/000149315222031359/ex10-4.htm" TargetMode="External"/><Relationship Id="rId18" Type="http://schemas.openxmlformats.org/officeDocument/2006/relationships/hyperlink" Target="https://www.sec.gov/Archives/edgar/data/876343/000149315223007129/ex10-07.htm" TargetMode="External"/><Relationship Id="rId19" Type="http://schemas.openxmlformats.org/officeDocument/2006/relationships/hyperlink" Target="https://www.sec.gov/Archives/edgar/data/876343/000149315223007129/ex10-07.htm" TargetMode="External"/><Relationship Id="rId20" Type="http://schemas.openxmlformats.org/officeDocument/2006/relationships/hyperlink" Target="https://www.sec.gov/Archives/edgar/data/876343/000149315219003335/ex10-18.htm" TargetMode="External"/><Relationship Id="rId21" Type="http://schemas.openxmlformats.org/officeDocument/2006/relationships/hyperlink" Target="https://www.sec.gov/Archives/edgar/data/876343/000114036115027545/ex4_1.htm" TargetMode="External"/><Relationship Id="rId22" Type="http://schemas.openxmlformats.org/officeDocument/2006/relationships/hyperlink" Target="https://www.sec.gov/Archives/edgar/data/876343/000149315223025680/formdef14a.htm" TargetMode="External"/><Relationship Id="rId23" Type="http://schemas.openxmlformats.org/officeDocument/2006/relationships/hyperlink" Target="https://www.sec.gov/Archives/edgar/data/876343/000149315217007613/ex4-2.htm" TargetMode="External"/><Relationship Id="rId24" Type="http://schemas.openxmlformats.org/officeDocument/2006/relationships/hyperlink" Target="https://www.sec.gov/Archives/edgar/data/876343/000149315219011912/ex99-3.htm" TargetMode="External"/><Relationship Id="rId25" Type="http://schemas.openxmlformats.org/officeDocument/2006/relationships/hyperlink" Target="https://www.sec.gov/Archives/edgar/data/876343/000149315219016930/ex10-1.htm" TargetMode="External"/><Relationship Id="rId26" Type="http://schemas.openxmlformats.org/officeDocument/2006/relationships/hyperlink" Target="https://www.sec.gov/Archives/edgar/data/876343/000114036113041885/ex10_7.htm" TargetMode="External"/><Relationship Id="rId27" Type="http://schemas.openxmlformats.org/officeDocument/2006/relationships/hyperlink" Target="https://www.sec.gov/Archives/edgar/data/876343/000114036113041885/ex10_8.htm" TargetMode="External"/><Relationship Id="rId28" Type="http://schemas.openxmlformats.org/officeDocument/2006/relationships/hyperlink" Target="https://www.sec.gov/Archives/edgar/data/876343/000149315219016930/ex10-2.htm" TargetMode="External"/><Relationship Id="rId29" Type="http://schemas.openxmlformats.org/officeDocument/2006/relationships/hyperlink" Target="https://www.sec.gov/Archives/edgar/data/876343/000149315220003818/ex10-6.htm" TargetMode="External"/><Relationship Id="rId30" Type="http://schemas.openxmlformats.org/officeDocument/2006/relationships/hyperlink" Target="https://www.sec.gov/Archives/edgar/data/876343/000149315221022765/ex10-1.htm" TargetMode="External"/><Relationship Id="rId31" Type="http://schemas.openxmlformats.org/officeDocument/2006/relationships/hyperlink" Target="https://www.sec.gov/Archives/edgar/data/876343/000149315223025680/formdef14a.htm" TargetMode="External"/><Relationship Id="rId32" Type="http://schemas.openxmlformats.org/officeDocument/2006/relationships/hyperlink" Target="https://www.sec.gov/Archives/edgar/data/876343/000149315221023990/ex99-2.htm" TargetMode="External"/><Relationship Id="rId33" Type="http://schemas.openxmlformats.org/officeDocument/2006/relationships/hyperlink" Target="https://www.sec.gov/Archives/edgar/data/876343/000149315221023990/ex99-3.htm" TargetMode="External"/><Relationship Id="rId34" Type="http://schemas.openxmlformats.org/officeDocument/2006/relationships/hyperlink" Target="https://www.sec.gov/Archives/edgar/data/876343/000149315221023990/ex99-4.htm" TargetMode="External"/><Relationship Id="rId35" Type="http://schemas.openxmlformats.org/officeDocument/2006/relationships/hyperlink" Target="https://www.sec.gov/Archives/edgar/data/876343/000149315222031359/ex10-5.htm" TargetMode="External"/><Relationship Id="rId36" Type="http://schemas.openxmlformats.org/officeDocument/2006/relationships/hyperlink" Target="https://www.sec.gov/Archives/edgar/data/876343/000114036108000966/ex10_1.htm" TargetMode="External"/><Relationship Id="rId37" Type="http://schemas.openxmlformats.org/officeDocument/2006/relationships/hyperlink" Target="https://www.sec.gov/Archives/edgar/data/876343/000087634309000009/ex10_38.htm" TargetMode="External"/><Relationship Id="rId38" Type="http://schemas.openxmlformats.org/officeDocument/2006/relationships/hyperlink" Target="https://www.sec.gov/Archives/edgar/data/876343/000114036117030912/ex10_2.htm" TargetMode="External"/><Relationship Id="rId39" Type="http://schemas.openxmlformats.org/officeDocument/2006/relationships/hyperlink" Target="https://www.sec.gov/Archives/edgar/data/876343/000149315218003416/ex10-38.htm" TargetMode="External"/><Relationship Id="rId40" Type="http://schemas.openxmlformats.org/officeDocument/2006/relationships/hyperlink" Target="https://www.sec.gov/Archives/edgar/data/876343/000149315222006520/ex10-4b.htm" TargetMode="External"/><Relationship Id="rId41" Type="http://schemas.openxmlformats.org/officeDocument/2006/relationships/hyperlink" Target="https://www.sec.gov/Archives/edgar/data/876343/000149315222006520/ex10-4c.htm" TargetMode="External"/><Relationship Id="rId42" Type="http://schemas.openxmlformats.org/officeDocument/2006/relationships/hyperlink" Target="https://www.sec.gov/Archives/edgar/data/876343/000149315222006520/ex10-4d.htm" TargetMode="External"/><Relationship Id="rId43" Type="http://schemas.openxmlformats.org/officeDocument/2006/relationships/hyperlink" Target="https://www.sec.gov/Archives/edgar/data/876343/000114036117030912/ex10_3.htm" TargetMode="External"/><Relationship Id="rId44" Type="http://schemas.openxmlformats.org/officeDocument/2006/relationships/hyperlink" Target="https://www.sec.gov/Archives/edgar/data/876343/000114036117030912/ex10_4.htm" TargetMode="External"/><Relationship Id="rId45" Type="http://schemas.openxmlformats.org/officeDocument/2006/relationships/hyperlink" Target="https://www.sec.gov/Archives/edgar/data/1572552/000114036113031873/ex10_6.htm" TargetMode="External"/><Relationship Id="rId46" Type="http://schemas.openxmlformats.org/officeDocument/2006/relationships/hyperlink" Target="https://www.sec.gov/Archives/edgar/data/1572552/000114036113031873/ex10_7.htm" TargetMode="External"/><Relationship Id="rId47" Type="http://schemas.openxmlformats.org/officeDocument/2006/relationships/hyperlink" Target="https://www.sec.gov/Archives/edgar/data/1572552/000114036113041879/ex10_4.htm" TargetMode="External"/><Relationship Id="rId48" Type="http://schemas.openxmlformats.org/officeDocument/2006/relationships/hyperlink" Target="https://www.sec.gov/Archives/edgar/data/1572552/000114036115001602/ex10_1.htm" TargetMode="External"/><Relationship Id="rId49" Type="http://schemas.openxmlformats.org/officeDocument/2006/relationships/hyperlink" Target="https://www.sec.gov/Archives/edgar/data/876343/000149315220014858/ex10-1.htm" TargetMode="External"/><Relationship Id="rId50" Type="http://schemas.openxmlformats.org/officeDocument/2006/relationships/hyperlink" Target="https://www.sec.gov/Archives/edgar/data/876343/000149315220014858/ex10-2.htm" TargetMode="External"/><Relationship Id="rId51" Type="http://schemas.openxmlformats.org/officeDocument/2006/relationships/hyperlink" Target="https://www.sec.gov/Archives/edgar/data/876343/000149315221019518/ex10-1.htm" TargetMode="External"/><Relationship Id="rId52" Type="http://schemas.openxmlformats.org/officeDocument/2006/relationships/hyperlink" Target="https://www.sec.gov/Archives/edgar/data/876343/000149315222006520/ex10-13.htm" TargetMode="External"/><Relationship Id="rId53" Type="http://schemas.openxmlformats.org/officeDocument/2006/relationships/hyperlink" Target="https://www.sec.gov/Archives/edgar/data/876343/000149315223007129/ex10-21.htm" TargetMode="External"/><Relationship Id="rId54" Type="http://schemas.openxmlformats.org/officeDocument/2006/relationships/hyperlink" Target="https://www.sec.gov/Archives/edgar/data/876343/000149315224005046/ex10-1.htm" TargetMode="External"/><Relationship Id="rId55" Type="http://schemas.openxmlformats.org/officeDocument/2006/relationships/image" Target="media/image8.jpeg"/><Relationship Id="rId56" Type="http://schemas.openxmlformats.org/officeDocument/2006/relationships/fontTable" Target="fontTable.xml"/><Relationship Id="rId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95369</Words>
  <Characters>537211</Characters>
  <CharactersWithSpaces>632113</CharactersWithSpaces>
  <Paragraphs>7703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