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center"/>
        <w:rPr/>
      </w:pPr>
      <w:bookmarkStart w:id="0" w:name="lctx-20260331.htm"/>
      <w:bookmarkStart w:id="1" w:name="kslctx20260331"/>
      <w:bookmarkEnd w:id="0"/>
      <w:bookmarkEnd w:id="1"/>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10-Q</w:t>
      </w:r>
    </w:p>
    <w:p>
      <w:pPr>
        <w:pStyle w:val="TextBody"/>
        <w:bidi w:val="0"/>
        <w:jc w:val="center"/>
        <w:rPr/>
      </w:pPr>
      <w:r>
        <w:rPr/>
        <w:t> </w:t>
      </w:r>
    </w:p>
    <w:tbl>
      <w:tblPr>
        <w:tblW w:w="9827" w:type="dxa"/>
        <w:jc w:val="left"/>
        <w:tblInd w:w="0" w:type="dxa"/>
        <w:tblLayout w:type="fixed"/>
        <w:tblCellMar>
          <w:top w:w="28" w:type="dxa"/>
          <w:left w:w="28" w:type="dxa"/>
          <w:bottom w:w="28" w:type="dxa"/>
          <w:right w:w="28" w:type="dxa"/>
        </w:tblCellMar>
      </w:tblPr>
      <w:tblGrid>
        <w:gridCol w:w="331"/>
        <w:gridCol w:w="9496"/>
      </w:tblGrid>
      <w:tr>
        <w:trPr/>
        <w:tc>
          <w:tcPr>
            <w:tcW w:w="331" w:type="dxa"/>
            <w:tcBorders/>
            <w:vAlign w:val="center"/>
          </w:tcPr>
          <w:p>
            <w:pPr>
              <w:pStyle w:val="TableContents"/>
              <w:bidi w:val="0"/>
              <w:spacing w:before="0" w:after="283"/>
              <w:jc w:val="left"/>
              <w:rPr>
                <w:sz w:val="4"/>
                <w:szCs w:val="4"/>
              </w:rPr>
            </w:pPr>
            <w:r>
              <w:rPr>
                <w:sz w:val="4"/>
                <w:szCs w:val="4"/>
              </w:rPr>
            </w:r>
          </w:p>
        </w:tc>
        <w:tc>
          <w:tcPr>
            <w:tcW w:w="949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color w:val="000000"/>
              </w:rPr>
            </w:pPr>
            <w:r>
              <w:rPr>
                <w:color w:val="000000"/>
              </w:rPr>
              <w:t>☒</w:t>
            </w:r>
          </w:p>
        </w:tc>
        <w:tc>
          <w:tcPr>
            <w:tcW w:w="94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QUARTERLY REPORT PURSUANT TO SECTION 13 OR 15(d) OF THE SECURITIES EXCHANGE ACT OF 1934</w:t>
            </w:r>
          </w:p>
        </w:tc>
      </w:tr>
    </w:tbl>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For the quarterly period ended March 31, 2026</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OR</w:t>
      </w:r>
    </w:p>
    <w:p>
      <w:pPr>
        <w:pStyle w:val="TextBody"/>
        <w:bidi w:val="0"/>
        <w:jc w:val="center"/>
        <w:rPr/>
      </w:pPr>
      <w:r>
        <w:rPr/>
        <w:t> </w:t>
      </w:r>
    </w:p>
    <w:tbl>
      <w:tblPr>
        <w:tblW w:w="9797" w:type="dxa"/>
        <w:jc w:val="left"/>
        <w:tblInd w:w="0" w:type="dxa"/>
        <w:tblLayout w:type="fixed"/>
        <w:tblCellMar>
          <w:top w:w="28" w:type="dxa"/>
          <w:left w:w="28" w:type="dxa"/>
          <w:bottom w:w="28" w:type="dxa"/>
          <w:right w:w="28" w:type="dxa"/>
        </w:tblCellMar>
      </w:tblPr>
      <w:tblGrid>
        <w:gridCol w:w="331"/>
        <w:gridCol w:w="9466"/>
      </w:tblGrid>
      <w:tr>
        <w:trPr/>
        <w:tc>
          <w:tcPr>
            <w:tcW w:w="331" w:type="dxa"/>
            <w:tcBorders/>
            <w:vAlign w:val="center"/>
          </w:tcPr>
          <w:p>
            <w:pPr>
              <w:pStyle w:val="TableContents"/>
              <w:bidi w:val="0"/>
              <w:spacing w:before="0" w:after="283"/>
              <w:jc w:val="left"/>
              <w:rPr>
                <w:sz w:val="4"/>
                <w:szCs w:val="4"/>
              </w:rPr>
            </w:pPr>
            <w:r>
              <w:rPr>
                <w:sz w:val="4"/>
                <w:szCs w:val="4"/>
              </w:rPr>
            </w:r>
          </w:p>
        </w:tc>
        <w:tc>
          <w:tcPr>
            <w:tcW w:w="946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4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TRANSITION REPORT PURSUANT TO SECTION 13 OR 15(d) OF THE SECURITIES EXCHANGE ACT OF 1934</w:t>
            </w:r>
          </w:p>
        </w:tc>
      </w:tr>
    </w:tbl>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For the transition period from _________ to ________</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color w:val="000000"/>
          <w:sz w:val="20"/>
        </w:rPr>
        <w:t xml:space="preserve">Commission file number </w:t>
      </w:r>
      <w:r>
        <w:rPr>
          <w:rFonts w:ascii="Times New Roman" w:hAnsi="Times New Roman"/>
          <w:b/>
          <w:color w:val="000000"/>
          <w:sz w:val="20"/>
        </w:rPr>
        <w:t>001-12830</w:t>
      </w:r>
    </w:p>
    <w:p>
      <w:pPr>
        <w:pStyle w:val="TextBody"/>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Lineage Cell Therapeutics, Inc.</w:t>
      </w:r>
    </w:p>
    <w:p>
      <w:pPr>
        <w:pStyle w:val="TextBody"/>
        <w:bidi w:val="0"/>
        <w:jc w:val="center"/>
        <w:rPr>
          <w:rFonts w:ascii="Times New Roman" w:hAnsi="Times New Roman"/>
          <w:color w:val="000000"/>
          <w:sz w:val="20"/>
        </w:rPr>
      </w:pPr>
      <w:r>
        <w:rPr>
          <w:rFonts w:ascii="Times New Roman" w:hAnsi="Times New Roman"/>
          <w:color w:val="000000"/>
          <w:sz w:val="20"/>
        </w:rPr>
        <w:t>(Exact name of registrant as specified in its charter)</w:t>
      </w:r>
    </w:p>
    <w:p>
      <w:pPr>
        <w:pStyle w:val="TextBody"/>
        <w:bidi w:val="0"/>
        <w:jc w:val="center"/>
        <w:rPr/>
      </w:pPr>
      <w:r>
        <w:rPr/>
        <w:t> </w:t>
      </w:r>
    </w:p>
    <w:tbl>
      <w:tblPr>
        <w:tblW w:w="4341" w:type="dxa"/>
        <w:jc w:val="left"/>
        <w:tblInd w:w="0" w:type="dxa"/>
        <w:tblLayout w:type="fixed"/>
        <w:tblCellMar>
          <w:top w:w="28" w:type="dxa"/>
          <w:left w:w="28" w:type="dxa"/>
          <w:bottom w:w="28" w:type="dxa"/>
          <w:right w:w="28" w:type="dxa"/>
        </w:tblCellMar>
      </w:tblPr>
      <w:tblGrid>
        <w:gridCol w:w="2581"/>
        <w:gridCol w:w="109"/>
        <w:gridCol w:w="1651"/>
      </w:tblGrid>
      <w:tr>
        <w:trPr/>
        <w:tc>
          <w:tcPr>
            <w:tcW w:w="2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5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California</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94-3127919</w:t>
            </w:r>
          </w:p>
        </w:tc>
      </w:tr>
      <w:tr>
        <w:trPr/>
        <w:tc>
          <w:tcPr>
            <w:tcW w:w="258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(State or other jurisdiction of</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incorporation or organization)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(IRS Employer</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Identification No.)</w:t>
            </w:r>
          </w:p>
        </w:tc>
      </w:tr>
    </w:tbl>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2173 Salk Avenue, Suite 200</w:t>
      </w:r>
    </w:p>
    <w:p>
      <w:pPr>
        <w:pStyle w:val="TextBody"/>
        <w:bidi w:val="0"/>
        <w:jc w:val="center"/>
        <w:rPr>
          <w:rFonts w:ascii="Times New Roman" w:hAnsi="Times New Roman"/>
          <w:sz w:val="20"/>
        </w:rPr>
      </w:pPr>
      <w:r>
        <w:rPr>
          <w:rFonts w:ascii="Times New Roman" w:hAnsi="Times New Roman"/>
          <w:b/>
          <w:color w:val="000000"/>
          <w:sz w:val="20"/>
        </w:rPr>
        <w:t>Carlsbad, California</w:t>
      </w:r>
      <w:r>
        <w:rPr>
          <w:rFonts w:ascii="Times New Roman" w:hAnsi="Times New Roman"/>
          <w:color w:val="000000"/>
          <w:sz w:val="20"/>
        </w:rPr>
        <w:t xml:space="preserve"> </w:t>
      </w:r>
      <w:r>
        <w:rPr>
          <w:rFonts w:ascii="Times New Roman" w:hAnsi="Times New Roman"/>
          <w:b/>
          <w:color w:val="000000"/>
          <w:sz w:val="20"/>
        </w:rPr>
        <w:t>92008</w:t>
      </w:r>
    </w:p>
    <w:p>
      <w:pPr>
        <w:pStyle w:val="TextBody"/>
        <w:bidi w:val="0"/>
        <w:jc w:val="center"/>
        <w:rPr>
          <w:rFonts w:ascii="Times New Roman" w:hAnsi="Times New Roman"/>
          <w:color w:val="000000"/>
          <w:sz w:val="20"/>
        </w:rPr>
      </w:pPr>
      <w:r>
        <w:rPr>
          <w:rFonts w:ascii="Times New Roman" w:hAnsi="Times New Roman"/>
          <w:color w:val="000000"/>
          <w:sz w:val="20"/>
        </w:rPr>
        <w:t>(Address of principal executive offices) (Zip code)</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(Registrant’s telephone number, including area code) (442) 287-8990</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p>
      <w:pPr>
        <w:pStyle w:val="TextBody"/>
        <w:bidi w:val="0"/>
        <w:jc w:val="center"/>
        <w:rPr/>
      </w:pPr>
      <w:r>
        <w:rPr/>
        <w:t> </w:t>
      </w:r>
    </w:p>
    <w:tbl>
      <w:tblPr>
        <w:tblW w:w="6506" w:type="dxa"/>
        <w:jc w:val="left"/>
        <w:tblInd w:w="0" w:type="dxa"/>
        <w:tblLayout w:type="fixed"/>
        <w:tblCellMar>
          <w:top w:w="28" w:type="dxa"/>
          <w:left w:w="28" w:type="dxa"/>
          <w:bottom w:w="28" w:type="dxa"/>
          <w:right w:w="28" w:type="dxa"/>
        </w:tblCellMar>
      </w:tblPr>
      <w:tblGrid>
        <w:gridCol w:w="1576"/>
        <w:gridCol w:w="109"/>
        <w:gridCol w:w="1426"/>
        <w:gridCol w:w="109"/>
        <w:gridCol w:w="3286"/>
      </w:tblGrid>
      <w:tr>
        <w:trPr/>
        <w:tc>
          <w:tcPr>
            <w:tcW w:w="1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6" w:type="dxa"/>
            <w:tcBorders/>
            <w:vAlign w:val="center"/>
          </w:tcPr>
          <w:p>
            <w:pPr>
              <w:pStyle w:val="TableContents"/>
              <w:bidi w:val="0"/>
              <w:spacing w:before="0" w:after="283"/>
              <w:jc w:val="left"/>
              <w:rPr>
                <w:sz w:val="4"/>
                <w:szCs w:val="4"/>
              </w:rPr>
            </w:pPr>
            <w:r>
              <w:rPr>
                <w:sz w:val="4"/>
                <w:szCs w:val="4"/>
              </w:rPr>
            </w:r>
          </w:p>
        </w:tc>
      </w:tr>
      <w:tr>
        <w:trPr/>
        <w:tc>
          <w:tcPr>
            <w:tcW w:w="157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Title of each class</w:t>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2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Trading Symbol</w:t>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8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Name of exchange on which registered</w:t>
            </w:r>
          </w:p>
        </w:tc>
      </w:tr>
      <w:tr>
        <w:trPr/>
        <w:tc>
          <w:tcPr>
            <w:tcW w:w="15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Common shares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LCTX</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NYSE American LLC</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 Yes ☐ No</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 Yes ☐ No</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132" w:type="dxa"/>
        <w:jc w:val="left"/>
        <w:tblInd w:w="0" w:type="dxa"/>
        <w:tblLayout w:type="fixed"/>
        <w:tblCellMar>
          <w:top w:w="28" w:type="dxa"/>
          <w:left w:w="28" w:type="dxa"/>
          <w:bottom w:w="28" w:type="dxa"/>
          <w:right w:w="28" w:type="dxa"/>
        </w:tblCellMar>
      </w:tblPr>
      <w:tblGrid>
        <w:gridCol w:w="2551"/>
        <w:gridCol w:w="2581"/>
      </w:tblGrid>
      <w:tr>
        <w:trPr/>
        <w:tc>
          <w:tcPr>
            <w:tcW w:w="2551" w:type="dxa"/>
            <w:tcBorders/>
            <w:vAlign w:val="center"/>
          </w:tcPr>
          <w:p>
            <w:pPr>
              <w:pStyle w:val="TableContents"/>
              <w:bidi w:val="0"/>
              <w:spacing w:before="0" w:after="283"/>
              <w:jc w:val="left"/>
              <w:rPr>
                <w:sz w:val="4"/>
                <w:szCs w:val="4"/>
              </w:rPr>
            </w:pPr>
            <w:r>
              <w:rPr>
                <w:sz w:val="4"/>
                <w:szCs w:val="4"/>
              </w:rPr>
            </w:r>
          </w:p>
        </w:tc>
        <w:tc>
          <w:tcPr>
            <w:tcW w:w="2581" w:type="dxa"/>
            <w:tcBorders/>
            <w:vAlign w:val="center"/>
          </w:tcPr>
          <w:p>
            <w:pPr>
              <w:pStyle w:val="TableContents"/>
              <w:bidi w:val="0"/>
              <w:spacing w:before="0" w:after="283"/>
              <w:jc w:val="left"/>
              <w:rPr>
                <w:sz w:val="4"/>
                <w:szCs w:val="4"/>
              </w:rPr>
            </w:pPr>
            <w:r>
              <w:rPr>
                <w:sz w:val="4"/>
                <w:szCs w:val="4"/>
              </w:rPr>
            </w:r>
          </w:p>
        </w:tc>
      </w:tr>
      <w:tr>
        <w:trPr/>
        <w:tc>
          <w:tcPr>
            <w:tcW w:w="25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Large accelerated filer ☐</w:t>
            </w:r>
          </w:p>
        </w:tc>
        <w:tc>
          <w:tcPr>
            <w:tcW w:w="25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Accelerated filer ☐</w:t>
            </w:r>
          </w:p>
        </w:tc>
      </w:tr>
      <w:tr>
        <w:trPr/>
        <w:tc>
          <w:tcPr>
            <w:tcW w:w="25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Non-accelerated filer ☒</w:t>
            </w:r>
          </w:p>
        </w:tc>
        <w:tc>
          <w:tcPr>
            <w:tcW w:w="25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Smaller reporting company ☒</w:t>
            </w:r>
          </w:p>
        </w:tc>
      </w:tr>
      <w:tr>
        <w:trPr/>
        <w:tc>
          <w:tcPr>
            <w:tcW w:w="25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Emerging growth company ☐</w:t>
            </w:r>
          </w:p>
        </w:tc>
        <w:tc>
          <w:tcPr>
            <w:tcW w:w="25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Indicate by check mark whether the registrant is a shell company (as defined in Rule 12b-2 of the Exchange Act). ☐ Yes ☒ No</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number of common shares outstanding as of May 8, 2026 was 249,298,295.</w:t>
      </w:r>
    </w:p>
    <w:p>
      <w:pPr>
        <w:pStyle w:val="TextBody"/>
        <w:pBdr>
          <w:bottom w:val="double" w:sz="6" w:space="1" w:color="000000"/>
        </w:pBdr>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Lineage Cell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center"/>
        <w:rPr/>
      </w:pPr>
      <w:r>
        <w:rPr/>
        <w:t> </w:t>
      </w:r>
    </w:p>
    <w:p>
      <w:pPr>
        <w:pStyle w:val="TextBody"/>
        <w:bidi w:val="0"/>
        <w:jc w:val="left"/>
        <w:rPr/>
      </w:pPr>
      <w:r>
        <w:rPr/>
        <w:t> </w:t>
      </w:r>
    </w:p>
    <w:tbl>
      <w:tblPr>
        <w:tblW w:w="9348" w:type="dxa"/>
        <w:jc w:val="left"/>
        <w:tblInd w:w="0" w:type="dxa"/>
        <w:tblLayout w:type="fixed"/>
        <w:tblCellMar>
          <w:top w:w="28" w:type="dxa"/>
          <w:left w:w="28" w:type="dxa"/>
          <w:bottom w:w="28" w:type="dxa"/>
          <w:right w:w="28" w:type="dxa"/>
        </w:tblCellMar>
      </w:tblPr>
      <w:tblGrid>
        <w:gridCol w:w="826"/>
        <w:gridCol w:w="8011"/>
        <w:gridCol w:w="511"/>
      </w:tblGrid>
      <w:tr>
        <w:trPr/>
        <w:tc>
          <w:tcPr>
            <w:tcW w:w="826" w:type="dxa"/>
            <w:tcBorders/>
            <w:vAlign w:val="center"/>
          </w:tcPr>
          <w:p>
            <w:pPr>
              <w:pStyle w:val="TableContents"/>
              <w:bidi w:val="0"/>
              <w:spacing w:before="0" w:after="283"/>
              <w:jc w:val="left"/>
              <w:rPr>
                <w:sz w:val="4"/>
                <w:szCs w:val="4"/>
              </w:rPr>
            </w:pPr>
            <w:r>
              <w:rPr>
                <w:sz w:val="4"/>
                <w:szCs w:val="4"/>
              </w:rPr>
            </w:r>
          </w:p>
        </w:tc>
        <w:tc>
          <w:tcPr>
            <w:tcW w:w="80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826" w:type="dxa"/>
            <w:tcBorders/>
            <w:shd w:fill="FFFFFF" w:val="clear"/>
            <w:tcMar>
              <w:top w:w="0" w:type="dxa"/>
              <w:left w:w="0" w:type="dxa"/>
              <w:bottom w:w="0" w:type="dxa"/>
              <w:right w:w="0" w:type="dxa"/>
            </w:tcMar>
            <w:vAlign w:val="center"/>
          </w:tcPr>
          <w:p>
            <w:pPr>
              <w:pStyle w:val="TableContents"/>
              <w:bidi w:val="0"/>
              <w:spacing w:before="120" w:after="283"/>
              <w:jc w:val="left"/>
              <w:rPr/>
            </w:pPr>
            <w:r>
              <w:rPr/>
              <w:t> </w:t>
            </w:r>
          </w:p>
        </w:tc>
        <w:tc>
          <w:tcPr>
            <w:tcW w:w="8011" w:type="dxa"/>
            <w:tcBorders/>
            <w:shd w:fill="FFFFFF" w:val="clear"/>
            <w:tcMar>
              <w:top w:w="0" w:type="dxa"/>
              <w:left w:w="0" w:type="dxa"/>
              <w:bottom w:w="0" w:type="dxa"/>
              <w:right w:w="0" w:type="dxa"/>
            </w:tcMar>
            <w:vAlign w:val="center"/>
          </w:tcPr>
          <w:p>
            <w:pPr>
              <w:pStyle w:val="TableContents"/>
              <w:bidi w:val="0"/>
              <w:spacing w:before="120" w:after="283"/>
              <w:jc w:val="left"/>
              <w:rPr/>
            </w:pPr>
            <w:r>
              <w:rPr/>
              <w:t> </w:t>
            </w:r>
          </w:p>
        </w:tc>
        <w:tc>
          <w:tcPr>
            <w:tcW w:w="511" w:type="dxa"/>
            <w:tcBorders>
              <w:bottom w:val="single" w:sz="2" w:space="0" w:color="000000"/>
            </w:tcBorders>
            <w:shd w:fill="FFFFFF" w:val="clear"/>
            <w:tcMar>
              <w:top w:w="0" w:type="dxa"/>
              <w:left w:w="0" w:type="dxa"/>
              <w:right w:w="0" w:type="dxa"/>
            </w:tcMar>
            <w:vAlign w:val="center"/>
          </w:tcPr>
          <w:p>
            <w:pPr>
              <w:pStyle w:val="TableContents"/>
              <w:bidi w:val="0"/>
              <w:spacing w:before="120" w:after="283"/>
              <w:jc w:val="center"/>
              <w:rPr>
                <w:rFonts w:ascii="Times New Roman" w:hAnsi="Times New Roman"/>
                <w:b/>
                <w:color w:val="000000"/>
                <w:sz w:val="16"/>
              </w:rPr>
            </w:pPr>
            <w:r>
              <w:rPr>
                <w:rFonts w:ascii="Times New Roman" w:hAnsi="Times New Roman"/>
                <w:b/>
                <w:color w:val="000000"/>
                <w:sz w:val="16"/>
              </w:rPr>
              <w:t>Page</w:t>
            </w:r>
          </w:p>
        </w:tc>
      </w:tr>
      <w:tr>
        <w:trPr/>
        <w:tc>
          <w:tcPr>
            <w:tcW w:w="826" w:type="dxa"/>
            <w:tcBorders/>
            <w:shd w:fill="FFFFFF" w:val="clear"/>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PART I.</w:t>
            </w:r>
          </w:p>
        </w:tc>
        <w:tc>
          <w:tcPr>
            <w:tcW w:w="8011" w:type="dxa"/>
            <w:tcBorders/>
            <w:shd w:fill="FFFFFF" w:val="clear"/>
            <w:tcMar>
              <w:top w:w="0" w:type="dxa"/>
              <w:left w:w="0" w:type="dxa"/>
              <w:bottom w:w="0" w:type="dxa"/>
              <w:right w:w="0" w:type="dxa"/>
            </w:tcMar>
            <w:vAlign w:val="center"/>
          </w:tcPr>
          <w:p>
            <w:pPr>
              <w:pStyle w:val="TableContents"/>
              <w:bidi w:val="0"/>
              <w:spacing w:before="120" w:after="283"/>
              <w:jc w:val="left"/>
              <w:rPr/>
            </w:pPr>
            <w:hyperlink w:anchor="part_i">
              <w:r>
                <w:rPr>
                  <w:rStyle w:val="InternetLink"/>
                  <w:rFonts w:ascii="Times New Roman" w:hAnsi="Times New Roman"/>
                  <w:color w:val="0000FF"/>
                  <w:sz w:val="20"/>
                  <w:u w:val="single"/>
                </w:rPr>
                <w:t>FINANCIAL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5</w:t>
            </w:r>
          </w:p>
        </w:tc>
      </w:tr>
      <w:tr>
        <w:trPr/>
        <w:tc>
          <w:tcPr>
            <w:tcW w:w="826" w:type="dxa"/>
            <w:tcBorders/>
            <w:shd w:fill="FFFFFF" w:val="clear"/>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Item 1.</w:t>
            </w:r>
          </w:p>
        </w:tc>
        <w:tc>
          <w:tcPr>
            <w:tcW w:w="8011" w:type="dxa"/>
            <w:tcBorders/>
            <w:shd w:fill="FFFFFF" w:val="clear"/>
            <w:tcMar>
              <w:top w:w="0" w:type="dxa"/>
              <w:left w:w="0" w:type="dxa"/>
              <w:bottom w:w="0" w:type="dxa"/>
              <w:right w:w="0" w:type="dxa"/>
            </w:tcMar>
            <w:vAlign w:val="center"/>
          </w:tcPr>
          <w:p>
            <w:pPr>
              <w:pStyle w:val="TableContents"/>
              <w:bidi w:val="0"/>
              <w:spacing w:before="120" w:after="283"/>
              <w:jc w:val="left"/>
              <w:rPr/>
            </w:pPr>
            <w:hyperlink w:anchor="item_1_financial_statements">
              <w:r>
                <w:rPr>
                  <w:rStyle w:val="InternetLink"/>
                  <w:rFonts w:ascii="Times New Roman" w:hAnsi="Times New Roman"/>
                  <w:color w:val="0000FF"/>
                  <w:sz w:val="20"/>
                  <w:u w:val="single"/>
                </w:rPr>
                <w:t>Financial Statements (Unaudited)</w:t>
              </w:r>
            </w:hyperlink>
            <w:hyperlink w:anchor="item_1_financial_statements">
              <w:r>
                <w:rPr>
                  <w:rStyle w:val="InternetLink"/>
                  <w:rFonts w:ascii="Times New Roman" w:hAnsi="Times New Roman"/>
                  <w:color w:val="0000FF"/>
                  <w:sz w:val="20"/>
                </w:rPr>
                <w:t xml:space="preserve"> </w:t>
              </w:r>
            </w:hyperlink>
          </w:p>
        </w:tc>
        <w:tc>
          <w:tcPr>
            <w:tcW w:w="511" w:type="dxa"/>
            <w:tcBorders/>
            <w:shd w:fill="FFFFFF" w:val="clear"/>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5</w:t>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1" w:type="dxa"/>
            <w:tcBorders/>
            <w:shd w:fill="FFFFFF" w:val="clear"/>
            <w:tcMar>
              <w:top w:w="0" w:type="dxa"/>
              <w:left w:w="0" w:type="dxa"/>
              <w:bottom w:w="0" w:type="dxa"/>
              <w:right w:w="0" w:type="dxa"/>
            </w:tcMar>
            <w:vAlign w:val="center"/>
          </w:tcPr>
          <w:p>
            <w:pPr>
              <w:pStyle w:val="TableContents"/>
              <w:bidi w:val="0"/>
              <w:spacing w:before="120" w:after="283"/>
              <w:jc w:val="left"/>
              <w:rPr/>
            </w:pPr>
            <w:hyperlink w:anchor="consolidated_balance_sheets">
              <w:r>
                <w:rPr>
                  <w:rStyle w:val="InternetLink"/>
                  <w:rFonts w:ascii="Times New Roman" w:hAnsi="Times New Roman"/>
                  <w:color w:val="0000FF"/>
                  <w:sz w:val="20"/>
                  <w:u w:val="single"/>
                </w:rPr>
                <w:t>Condensed Consolidated Balance Sheets</w:t>
              </w:r>
            </w:hyperlink>
          </w:p>
        </w:tc>
        <w:tc>
          <w:tcPr>
            <w:tcW w:w="511" w:type="dxa"/>
            <w:tcBorders/>
            <w:shd w:fill="FFFFFF" w:val="clear"/>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5</w:t>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1" w:type="dxa"/>
            <w:tcBorders/>
            <w:shd w:fill="FFFFFF" w:val="clear"/>
            <w:tcMar>
              <w:top w:w="0" w:type="dxa"/>
              <w:left w:w="0" w:type="dxa"/>
              <w:bottom w:w="0" w:type="dxa"/>
              <w:right w:w="0" w:type="dxa"/>
            </w:tcMar>
            <w:vAlign w:val="center"/>
          </w:tcPr>
          <w:p>
            <w:pPr>
              <w:pStyle w:val="TableContents"/>
              <w:bidi w:val="0"/>
              <w:spacing w:before="120" w:after="283"/>
              <w:jc w:val="left"/>
              <w:rPr/>
            </w:pPr>
            <w:hyperlink w:anchor="consolidated_statements_of_operations">
              <w:r>
                <w:rPr>
                  <w:rStyle w:val="InternetLink"/>
                  <w:rFonts w:ascii="Times New Roman" w:hAnsi="Times New Roman"/>
                  <w:color w:val="0000FF"/>
                  <w:sz w:val="20"/>
                  <w:u w:val="single"/>
                </w:rPr>
                <w:t>Condensed Consolidated Statements of Operations</w:t>
              </w:r>
            </w:hyperlink>
          </w:p>
        </w:tc>
        <w:tc>
          <w:tcPr>
            <w:tcW w:w="511" w:type="dxa"/>
            <w:tcBorders/>
            <w:shd w:fill="FFFFFF" w:val="clear"/>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6</w:t>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1" w:type="dxa"/>
            <w:tcBorders/>
            <w:shd w:fill="FFFFFF" w:val="clear"/>
            <w:tcMar>
              <w:top w:w="0" w:type="dxa"/>
              <w:left w:w="0" w:type="dxa"/>
              <w:bottom w:w="0" w:type="dxa"/>
              <w:right w:w="0" w:type="dxa"/>
            </w:tcMar>
            <w:vAlign w:val="center"/>
          </w:tcPr>
          <w:p>
            <w:pPr>
              <w:pStyle w:val="TableContents"/>
              <w:bidi w:val="0"/>
              <w:spacing w:before="120" w:after="283"/>
              <w:jc w:val="left"/>
              <w:rPr/>
            </w:pPr>
            <w:hyperlink w:anchor="consolidated_statements_comp_loss">
              <w:r>
                <w:rPr>
                  <w:rStyle w:val="InternetLink"/>
                  <w:rFonts w:ascii="Times New Roman" w:hAnsi="Times New Roman"/>
                  <w:color w:val="0000FF"/>
                  <w:sz w:val="20"/>
                  <w:u w:val="single"/>
                </w:rPr>
                <w:t>Condensed Consolidated Statements of Comprehensive Loss</w:t>
              </w:r>
            </w:hyperlink>
          </w:p>
        </w:tc>
        <w:tc>
          <w:tcPr>
            <w:tcW w:w="511" w:type="dxa"/>
            <w:tcBorders/>
            <w:shd w:fill="FFFFFF" w:val="clear"/>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7</w:t>
            </w:r>
          </w:p>
        </w:tc>
      </w:tr>
      <w:tr>
        <w:trPr/>
        <w:tc>
          <w:tcPr>
            <w:tcW w:w="826" w:type="dxa"/>
            <w:tcBorders/>
            <w:shd w:fill="FFFFFF" w:val="clear"/>
            <w:tcMar>
              <w:top w:w="0" w:type="dxa"/>
              <w:left w:w="0" w:type="dxa"/>
              <w:bottom w:w="0" w:type="dxa"/>
              <w:right w:w="0" w:type="dxa"/>
            </w:tcMar>
            <w:vAlign w:val="center"/>
          </w:tcPr>
          <w:p>
            <w:pPr>
              <w:pStyle w:val="TableContents"/>
              <w:bidi w:val="0"/>
              <w:spacing w:before="120" w:after="283"/>
              <w:jc w:val="left"/>
              <w:rPr/>
            </w:pPr>
            <w:r>
              <w:rPr/>
              <w:t> </w:t>
            </w:r>
          </w:p>
        </w:tc>
        <w:tc>
          <w:tcPr>
            <w:tcW w:w="8011" w:type="dxa"/>
            <w:tcBorders/>
            <w:shd w:fill="FFFFFF" w:val="clear"/>
            <w:tcMar>
              <w:top w:w="0" w:type="dxa"/>
              <w:left w:w="0" w:type="dxa"/>
              <w:bottom w:w="0" w:type="dxa"/>
              <w:right w:w="0" w:type="dxa"/>
            </w:tcMar>
            <w:vAlign w:val="center"/>
          </w:tcPr>
          <w:p>
            <w:pPr>
              <w:pStyle w:val="TableContents"/>
              <w:bidi w:val="0"/>
              <w:spacing w:before="120" w:after="283"/>
              <w:jc w:val="left"/>
              <w:rPr/>
            </w:pPr>
            <w:hyperlink w:anchor="consolidated_statements_of_equity">
              <w:r>
                <w:rPr>
                  <w:rStyle w:val="InternetLink"/>
                  <w:rFonts w:ascii="Times New Roman" w:hAnsi="Times New Roman"/>
                  <w:color w:val="0000FF"/>
                  <w:sz w:val="20"/>
                  <w:u w:val="single"/>
                </w:rPr>
                <w:t>Condensed Consolidated Statements of Changes in Shareholders' Equity</w:t>
              </w:r>
            </w:hyperlink>
          </w:p>
        </w:tc>
        <w:tc>
          <w:tcPr>
            <w:tcW w:w="511" w:type="dxa"/>
            <w:tcBorders/>
            <w:shd w:fill="FFFFFF" w:val="clear"/>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8</w:t>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1" w:type="dxa"/>
            <w:tcBorders/>
            <w:shd w:fill="FFFFFF" w:val="clear"/>
            <w:tcMar>
              <w:top w:w="0" w:type="dxa"/>
              <w:left w:w="0" w:type="dxa"/>
              <w:bottom w:w="0" w:type="dxa"/>
              <w:right w:w="0" w:type="dxa"/>
            </w:tcMar>
            <w:vAlign w:val="center"/>
          </w:tcPr>
          <w:p>
            <w:pPr>
              <w:pStyle w:val="TableContents"/>
              <w:bidi w:val="0"/>
              <w:spacing w:before="120" w:after="283"/>
              <w:jc w:val="left"/>
              <w:rPr/>
            </w:pPr>
            <w:hyperlink w:anchor="consolidated_statements_of_cash_flows">
              <w:r>
                <w:rPr>
                  <w:rStyle w:val="InternetLink"/>
                  <w:rFonts w:ascii="Times New Roman" w:hAnsi="Times New Roman"/>
                  <w:color w:val="0000FF"/>
                  <w:sz w:val="20"/>
                  <w:u w:val="single"/>
                </w:rPr>
                <w:t>Condensed Consolidated Statements of Cash Flows</w:t>
              </w:r>
            </w:hyperlink>
          </w:p>
        </w:tc>
        <w:tc>
          <w:tcPr>
            <w:tcW w:w="511" w:type="dxa"/>
            <w:tcBorders/>
            <w:shd w:fill="FFFFFF" w:val="clear"/>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9</w:t>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1" w:type="dxa"/>
            <w:tcBorders/>
            <w:shd w:fill="FFFFFF" w:val="clear"/>
            <w:tcMar>
              <w:top w:w="0" w:type="dxa"/>
              <w:left w:w="0" w:type="dxa"/>
              <w:bottom w:w="0" w:type="dxa"/>
              <w:right w:w="0" w:type="dxa"/>
            </w:tcMar>
            <w:vAlign w:val="center"/>
          </w:tcPr>
          <w:p>
            <w:pPr>
              <w:pStyle w:val="TableContents"/>
              <w:bidi w:val="0"/>
              <w:spacing w:before="120" w:after="283"/>
              <w:jc w:val="left"/>
              <w:rPr/>
            </w:pPr>
            <w:hyperlink w:anchor="notes_to_the_consolidated_financial">
              <w:r>
                <w:rPr>
                  <w:rStyle w:val="InternetLink"/>
                  <w:rFonts w:ascii="Times New Roman" w:hAnsi="Times New Roman"/>
                  <w:color w:val="0000FF"/>
                  <w:sz w:val="20"/>
                  <w:u w:val="single"/>
                </w:rPr>
                <w:t>Notes to the Condensed Consolidated Interim Financial Statements</w:t>
              </w:r>
            </w:hyperlink>
          </w:p>
        </w:tc>
        <w:tc>
          <w:tcPr>
            <w:tcW w:w="511" w:type="dxa"/>
            <w:tcBorders/>
            <w:shd w:fill="FFFFFF" w:val="clear"/>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10</w:t>
            </w:r>
          </w:p>
        </w:tc>
      </w:tr>
      <w:tr>
        <w:trPr/>
        <w:tc>
          <w:tcPr>
            <w:tcW w:w="826" w:type="dxa"/>
            <w:tcBorders/>
            <w:shd w:fill="FFFFFF" w:val="clear"/>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Item 2.</w:t>
            </w:r>
          </w:p>
        </w:tc>
        <w:tc>
          <w:tcPr>
            <w:tcW w:w="8011" w:type="dxa"/>
            <w:tcBorders/>
            <w:shd w:fill="FFFFFF" w:val="clear"/>
            <w:tcMar>
              <w:top w:w="0" w:type="dxa"/>
              <w:left w:w="0" w:type="dxa"/>
              <w:bottom w:w="0" w:type="dxa"/>
              <w:right w:w="0" w:type="dxa"/>
            </w:tcMar>
            <w:vAlign w:val="center"/>
          </w:tcPr>
          <w:p>
            <w:pPr>
              <w:pStyle w:val="TableContents"/>
              <w:bidi w:val="0"/>
              <w:spacing w:before="120" w:after="283"/>
              <w:jc w:val="left"/>
              <w:rPr/>
            </w:pPr>
            <w:hyperlink w:anchor="item_2_mda">
              <w:r>
                <w:rPr>
                  <w:rStyle w:val="InternetLink"/>
                  <w:rFonts w:ascii="Times New Roman" w:hAnsi="Times New Roman"/>
                  <w:color w:val="0000FF"/>
                  <w:sz w:val="20"/>
                  <w:u w:val="single"/>
                </w:rPr>
                <w:t>Management’s Discussion and Analysis of Financial Condition and Results of Operations</w:t>
              </w:r>
            </w:hyperlink>
          </w:p>
        </w:tc>
        <w:tc>
          <w:tcPr>
            <w:tcW w:w="511" w:type="dxa"/>
            <w:tcBorders/>
            <w:shd w:fill="FFFFFF" w:val="clear"/>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27</w:t>
            </w:r>
          </w:p>
        </w:tc>
      </w:tr>
      <w:tr>
        <w:trPr/>
        <w:tc>
          <w:tcPr>
            <w:tcW w:w="826" w:type="dxa"/>
            <w:tcBorders/>
            <w:shd w:fill="FFFFFF" w:val="clear"/>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Item 3.</w:t>
            </w:r>
          </w:p>
        </w:tc>
        <w:tc>
          <w:tcPr>
            <w:tcW w:w="8011" w:type="dxa"/>
            <w:tcBorders/>
            <w:shd w:fill="FFFFFF" w:val="clear"/>
            <w:tcMar>
              <w:top w:w="0" w:type="dxa"/>
              <w:left w:w="0" w:type="dxa"/>
              <w:bottom w:w="0" w:type="dxa"/>
              <w:right w:w="0" w:type="dxa"/>
            </w:tcMar>
            <w:vAlign w:val="center"/>
          </w:tcPr>
          <w:p>
            <w:pPr>
              <w:pStyle w:val="TableContents"/>
              <w:bidi w:val="0"/>
              <w:spacing w:before="120" w:after="283"/>
              <w:jc w:val="left"/>
              <w:rPr/>
            </w:pPr>
            <w:hyperlink w:anchor="item_3">
              <w:r>
                <w:rPr>
                  <w:rStyle w:val="InternetLink"/>
                  <w:rFonts w:ascii="Times New Roman" w:hAnsi="Times New Roman"/>
                  <w:color w:val="0000FF"/>
                  <w:sz w:val="20"/>
                  <w:u w:val="single"/>
                </w:rPr>
                <w:t>Quantitative and Qualitative Disclosures about Market Risk</w:t>
              </w:r>
            </w:hyperlink>
          </w:p>
        </w:tc>
        <w:tc>
          <w:tcPr>
            <w:tcW w:w="511" w:type="dxa"/>
            <w:tcBorders/>
            <w:shd w:fill="FFFFFF" w:val="clear"/>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37</w:t>
            </w:r>
          </w:p>
        </w:tc>
      </w:tr>
      <w:tr>
        <w:trPr/>
        <w:tc>
          <w:tcPr>
            <w:tcW w:w="826" w:type="dxa"/>
            <w:tcBorders/>
            <w:shd w:fill="FFFFFF" w:val="clear"/>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Item 4.</w:t>
            </w:r>
          </w:p>
        </w:tc>
        <w:tc>
          <w:tcPr>
            <w:tcW w:w="8011" w:type="dxa"/>
            <w:tcBorders/>
            <w:shd w:fill="FFFFFF" w:val="clear"/>
            <w:tcMar>
              <w:top w:w="0" w:type="dxa"/>
              <w:left w:w="0" w:type="dxa"/>
              <w:bottom w:w="0" w:type="dxa"/>
              <w:right w:w="0" w:type="dxa"/>
            </w:tcMar>
            <w:vAlign w:val="center"/>
          </w:tcPr>
          <w:p>
            <w:pPr>
              <w:pStyle w:val="TableContents"/>
              <w:bidi w:val="0"/>
              <w:spacing w:before="120" w:after="283"/>
              <w:jc w:val="left"/>
              <w:rPr/>
            </w:pPr>
            <w:hyperlink w:anchor="item_4">
              <w:r>
                <w:rPr>
                  <w:rStyle w:val="InternetLink"/>
                  <w:rFonts w:ascii="Times New Roman" w:hAnsi="Times New Roman"/>
                  <w:color w:val="0000FF"/>
                  <w:sz w:val="20"/>
                  <w:u w:val="single"/>
                </w:rPr>
                <w:t>Controls and Procedures</w:t>
              </w:r>
            </w:hyperlink>
          </w:p>
        </w:tc>
        <w:tc>
          <w:tcPr>
            <w:tcW w:w="511" w:type="dxa"/>
            <w:tcBorders/>
            <w:shd w:fill="FFFFFF" w:val="clear"/>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37</w:t>
            </w:r>
          </w:p>
        </w:tc>
      </w:tr>
      <w:tr>
        <w:trPr/>
        <w:tc>
          <w:tcPr>
            <w:tcW w:w="826" w:type="dxa"/>
            <w:tcBorders/>
            <w:shd w:fill="FFFFFF" w:val="clear"/>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PART II.</w:t>
            </w:r>
          </w:p>
        </w:tc>
        <w:tc>
          <w:tcPr>
            <w:tcW w:w="8011" w:type="dxa"/>
            <w:tcBorders/>
            <w:shd w:fill="FFFFFF" w:val="clear"/>
            <w:tcMar>
              <w:top w:w="0" w:type="dxa"/>
              <w:left w:w="0" w:type="dxa"/>
              <w:bottom w:w="0" w:type="dxa"/>
              <w:right w:w="0" w:type="dxa"/>
            </w:tcMar>
            <w:vAlign w:val="center"/>
          </w:tcPr>
          <w:p>
            <w:pPr>
              <w:pStyle w:val="TableContents"/>
              <w:bidi w:val="0"/>
              <w:spacing w:before="120" w:after="283"/>
              <w:jc w:val="left"/>
              <w:rPr/>
            </w:pPr>
            <w:hyperlink w:anchor="part_ii">
              <w:r>
                <w:rPr>
                  <w:rStyle w:val="InternetLink"/>
                  <w:rFonts w:ascii="Times New Roman" w:hAnsi="Times New Roman"/>
                  <w:color w:val="0000FF"/>
                  <w:sz w:val="20"/>
                  <w:u w:val="single"/>
                </w:rPr>
                <w:t>OTHER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38</w:t>
            </w:r>
          </w:p>
        </w:tc>
      </w:tr>
      <w:tr>
        <w:trPr/>
        <w:tc>
          <w:tcPr>
            <w:tcW w:w="826" w:type="dxa"/>
            <w:tcBorders/>
            <w:shd w:fill="FFFFFF" w:val="clear"/>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Item 1.</w:t>
            </w:r>
          </w:p>
        </w:tc>
        <w:tc>
          <w:tcPr>
            <w:tcW w:w="8011" w:type="dxa"/>
            <w:tcBorders/>
            <w:shd w:fill="FFFFFF" w:val="clear"/>
            <w:tcMar>
              <w:top w:w="0" w:type="dxa"/>
              <w:left w:w="0" w:type="dxa"/>
              <w:bottom w:w="0" w:type="dxa"/>
              <w:right w:w="0" w:type="dxa"/>
            </w:tcMar>
            <w:vAlign w:val="center"/>
          </w:tcPr>
          <w:p>
            <w:pPr>
              <w:pStyle w:val="TableContents"/>
              <w:bidi w:val="0"/>
              <w:spacing w:before="120" w:after="283"/>
              <w:jc w:val="left"/>
              <w:rPr/>
            </w:pPr>
            <w:hyperlink w:anchor="part_ii_item_1">
              <w:r>
                <w:rPr>
                  <w:rStyle w:val="InternetLink"/>
                  <w:rFonts w:ascii="Times New Roman" w:hAnsi="Times New Roman"/>
                  <w:color w:val="0000FF"/>
                  <w:sz w:val="20"/>
                  <w:u w:val="single"/>
                </w:rPr>
                <w:t>Legal Proceedings</w:t>
              </w:r>
            </w:hyperlink>
          </w:p>
        </w:tc>
        <w:tc>
          <w:tcPr>
            <w:tcW w:w="511" w:type="dxa"/>
            <w:tcBorders/>
            <w:shd w:fill="FFFFFF" w:val="clear"/>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38</w:t>
            </w:r>
          </w:p>
        </w:tc>
      </w:tr>
      <w:tr>
        <w:trPr/>
        <w:tc>
          <w:tcPr>
            <w:tcW w:w="826" w:type="dxa"/>
            <w:tcBorders/>
            <w:shd w:fill="FFFFFF" w:val="clear"/>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Item 1A.</w:t>
            </w:r>
          </w:p>
        </w:tc>
        <w:tc>
          <w:tcPr>
            <w:tcW w:w="8011" w:type="dxa"/>
            <w:tcBorders/>
            <w:shd w:fill="FFFFFF" w:val="clear"/>
            <w:tcMar>
              <w:top w:w="0" w:type="dxa"/>
              <w:left w:w="0" w:type="dxa"/>
              <w:bottom w:w="0" w:type="dxa"/>
              <w:right w:w="0" w:type="dxa"/>
            </w:tcMar>
            <w:vAlign w:val="center"/>
          </w:tcPr>
          <w:p>
            <w:pPr>
              <w:pStyle w:val="TableContents"/>
              <w:bidi w:val="0"/>
              <w:spacing w:before="120" w:after="283"/>
              <w:jc w:val="left"/>
              <w:rPr/>
            </w:pPr>
            <w:hyperlink w:anchor="part_ii_item_1a">
              <w:r>
                <w:rPr>
                  <w:rStyle w:val="InternetLink"/>
                  <w:rFonts w:ascii="Times New Roman" w:hAnsi="Times New Roman"/>
                  <w:color w:val="0000FF"/>
                  <w:sz w:val="20"/>
                  <w:u w:val="single"/>
                </w:rPr>
                <w:t>Risk Factors</w:t>
              </w:r>
            </w:hyperlink>
          </w:p>
        </w:tc>
        <w:tc>
          <w:tcPr>
            <w:tcW w:w="511" w:type="dxa"/>
            <w:tcBorders/>
            <w:shd w:fill="FFFFFF" w:val="clear"/>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38</w:t>
            </w:r>
          </w:p>
        </w:tc>
      </w:tr>
      <w:tr>
        <w:trPr/>
        <w:tc>
          <w:tcPr>
            <w:tcW w:w="826" w:type="dxa"/>
            <w:tcBorders/>
            <w:shd w:fill="FFFFFF" w:val="clear"/>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Item 2.</w:t>
            </w:r>
          </w:p>
        </w:tc>
        <w:tc>
          <w:tcPr>
            <w:tcW w:w="8011" w:type="dxa"/>
            <w:tcBorders/>
            <w:shd w:fill="FFFFFF" w:val="clear"/>
            <w:tcMar>
              <w:top w:w="0" w:type="dxa"/>
              <w:left w:w="0" w:type="dxa"/>
              <w:bottom w:w="0" w:type="dxa"/>
              <w:right w:w="0" w:type="dxa"/>
            </w:tcMar>
            <w:vAlign w:val="center"/>
          </w:tcPr>
          <w:p>
            <w:pPr>
              <w:pStyle w:val="TableContents"/>
              <w:bidi w:val="0"/>
              <w:spacing w:before="120" w:after="283"/>
              <w:jc w:val="left"/>
              <w:rPr/>
            </w:pPr>
            <w:hyperlink w:anchor="part_ii_item_2">
              <w:r>
                <w:rPr>
                  <w:rStyle w:val="InternetLink"/>
                  <w:rFonts w:ascii="Times New Roman" w:hAnsi="Times New Roman"/>
                  <w:color w:val="0000FF"/>
                  <w:sz w:val="20"/>
                  <w:u w:val="single"/>
                </w:rPr>
                <w:t>Unregistered Sales of Equity Securities, Use of Proceeds, and Issuer Purchases of Equity Securities</w:t>
              </w:r>
            </w:hyperlink>
          </w:p>
        </w:tc>
        <w:tc>
          <w:tcPr>
            <w:tcW w:w="511" w:type="dxa"/>
            <w:tcBorders/>
            <w:shd w:fill="FFFFFF" w:val="clear"/>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38</w:t>
            </w:r>
          </w:p>
        </w:tc>
      </w:tr>
      <w:tr>
        <w:trPr/>
        <w:tc>
          <w:tcPr>
            <w:tcW w:w="826" w:type="dxa"/>
            <w:tcBorders/>
            <w:shd w:fill="FFFFFF" w:val="clear"/>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Item 3.</w:t>
            </w:r>
          </w:p>
        </w:tc>
        <w:tc>
          <w:tcPr>
            <w:tcW w:w="8011" w:type="dxa"/>
            <w:tcBorders/>
            <w:shd w:fill="FFFFFF" w:val="clear"/>
            <w:tcMar>
              <w:top w:w="0" w:type="dxa"/>
              <w:left w:w="0" w:type="dxa"/>
              <w:bottom w:w="0" w:type="dxa"/>
              <w:right w:w="0" w:type="dxa"/>
            </w:tcMar>
            <w:vAlign w:val="center"/>
          </w:tcPr>
          <w:p>
            <w:pPr>
              <w:pStyle w:val="TableContents"/>
              <w:bidi w:val="0"/>
              <w:spacing w:before="120" w:after="283"/>
              <w:jc w:val="left"/>
              <w:rPr/>
            </w:pPr>
            <w:hyperlink w:anchor="part_ii_item_3">
              <w:r>
                <w:rPr>
                  <w:rStyle w:val="InternetLink"/>
                  <w:rFonts w:ascii="Times New Roman" w:hAnsi="Times New Roman"/>
                  <w:color w:val="0000FF"/>
                  <w:sz w:val="20"/>
                  <w:u w:val="single"/>
                </w:rPr>
                <w:t>Defaults Upon Senior Securities</w:t>
              </w:r>
            </w:hyperlink>
          </w:p>
        </w:tc>
        <w:tc>
          <w:tcPr>
            <w:tcW w:w="511" w:type="dxa"/>
            <w:tcBorders/>
            <w:shd w:fill="FFFFFF" w:val="clear"/>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38</w:t>
            </w:r>
          </w:p>
        </w:tc>
      </w:tr>
      <w:tr>
        <w:trPr/>
        <w:tc>
          <w:tcPr>
            <w:tcW w:w="826" w:type="dxa"/>
            <w:tcBorders/>
            <w:shd w:fill="FFFFFF" w:val="clear"/>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Item 4.</w:t>
            </w:r>
          </w:p>
        </w:tc>
        <w:tc>
          <w:tcPr>
            <w:tcW w:w="8011" w:type="dxa"/>
            <w:tcBorders/>
            <w:shd w:fill="FFFFFF" w:val="clear"/>
            <w:tcMar>
              <w:top w:w="0" w:type="dxa"/>
              <w:left w:w="0" w:type="dxa"/>
              <w:bottom w:w="0" w:type="dxa"/>
              <w:right w:w="0" w:type="dxa"/>
            </w:tcMar>
            <w:vAlign w:val="center"/>
          </w:tcPr>
          <w:p>
            <w:pPr>
              <w:pStyle w:val="TableContents"/>
              <w:bidi w:val="0"/>
              <w:spacing w:before="120" w:after="283"/>
              <w:jc w:val="left"/>
              <w:rPr/>
            </w:pPr>
            <w:hyperlink w:anchor="part_ii_item_4">
              <w:r>
                <w:rPr>
                  <w:rStyle w:val="InternetLink"/>
                  <w:rFonts w:ascii="Times New Roman" w:hAnsi="Times New Roman"/>
                  <w:color w:val="0000FF"/>
                  <w:sz w:val="20"/>
                  <w:u w:val="single"/>
                </w:rPr>
                <w:t>Mine Safety Disclosures</w:t>
              </w:r>
            </w:hyperlink>
          </w:p>
        </w:tc>
        <w:tc>
          <w:tcPr>
            <w:tcW w:w="511" w:type="dxa"/>
            <w:tcBorders/>
            <w:shd w:fill="FFFFFF" w:val="clear"/>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38</w:t>
            </w:r>
          </w:p>
        </w:tc>
      </w:tr>
      <w:tr>
        <w:trPr/>
        <w:tc>
          <w:tcPr>
            <w:tcW w:w="826" w:type="dxa"/>
            <w:tcBorders/>
            <w:shd w:fill="FFFFFF" w:val="clear"/>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Item 5.</w:t>
            </w:r>
          </w:p>
        </w:tc>
        <w:tc>
          <w:tcPr>
            <w:tcW w:w="8011" w:type="dxa"/>
            <w:tcBorders/>
            <w:shd w:fill="FFFFFF" w:val="clear"/>
            <w:tcMar>
              <w:top w:w="0" w:type="dxa"/>
              <w:left w:w="0" w:type="dxa"/>
              <w:bottom w:w="0" w:type="dxa"/>
              <w:right w:w="0" w:type="dxa"/>
            </w:tcMar>
            <w:vAlign w:val="center"/>
          </w:tcPr>
          <w:p>
            <w:pPr>
              <w:pStyle w:val="TableContents"/>
              <w:bidi w:val="0"/>
              <w:spacing w:before="120" w:after="283"/>
              <w:jc w:val="left"/>
              <w:rPr/>
            </w:pPr>
            <w:hyperlink w:anchor="part_ii_item_5">
              <w:r>
                <w:rPr>
                  <w:rStyle w:val="InternetLink"/>
                  <w:rFonts w:ascii="Times New Roman" w:hAnsi="Times New Roman"/>
                  <w:color w:val="0000FF"/>
                  <w:sz w:val="20"/>
                  <w:u w:val="single"/>
                </w:rPr>
                <w:t>Other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38</w:t>
            </w:r>
          </w:p>
        </w:tc>
      </w:tr>
      <w:tr>
        <w:trPr/>
        <w:tc>
          <w:tcPr>
            <w:tcW w:w="826" w:type="dxa"/>
            <w:tcBorders/>
            <w:shd w:fill="FFFFFF" w:val="clear"/>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Item 6.</w:t>
            </w:r>
          </w:p>
        </w:tc>
        <w:tc>
          <w:tcPr>
            <w:tcW w:w="8011" w:type="dxa"/>
            <w:tcBorders/>
            <w:shd w:fill="FFFFFF" w:val="clear"/>
            <w:tcMar>
              <w:top w:w="0" w:type="dxa"/>
              <w:left w:w="0" w:type="dxa"/>
              <w:bottom w:w="0" w:type="dxa"/>
              <w:right w:w="0" w:type="dxa"/>
            </w:tcMar>
            <w:vAlign w:val="center"/>
          </w:tcPr>
          <w:p>
            <w:pPr>
              <w:pStyle w:val="TableContents"/>
              <w:bidi w:val="0"/>
              <w:spacing w:before="120" w:after="283"/>
              <w:jc w:val="left"/>
              <w:rPr/>
            </w:pPr>
            <w:hyperlink w:anchor="part_ii_item_6">
              <w:r>
                <w:rPr>
                  <w:rStyle w:val="InternetLink"/>
                  <w:rFonts w:ascii="Times New Roman" w:hAnsi="Times New Roman"/>
                  <w:color w:val="0000FF"/>
                  <w:sz w:val="20"/>
                  <w:u w:val="single"/>
                </w:rPr>
                <w:t>Exhibits</w:t>
              </w:r>
            </w:hyperlink>
          </w:p>
        </w:tc>
        <w:tc>
          <w:tcPr>
            <w:tcW w:w="511" w:type="dxa"/>
            <w:tcBorders/>
            <w:shd w:fill="FFFFFF" w:val="clear"/>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39</w:t>
            </w:r>
          </w:p>
        </w:tc>
      </w:tr>
      <w:tr>
        <w:trPr/>
        <w:tc>
          <w:tcPr>
            <w:tcW w:w="8837" w:type="dxa"/>
            <w:gridSpan w:val="2"/>
            <w:tcBorders/>
            <w:shd w:fill="FFFFFF" w:val="clear"/>
            <w:tcMar>
              <w:top w:w="0" w:type="dxa"/>
              <w:left w:w="0" w:type="dxa"/>
              <w:bottom w:w="0" w:type="dxa"/>
              <w:right w:w="0" w:type="dxa"/>
            </w:tcMar>
            <w:vAlign w:val="center"/>
          </w:tcPr>
          <w:p>
            <w:pPr>
              <w:pStyle w:val="TableContents"/>
              <w:bidi w:val="0"/>
              <w:spacing w:before="120" w:after="283"/>
              <w:jc w:val="left"/>
              <w:rPr/>
            </w:pPr>
            <w:hyperlink w:anchor="signatures">
              <w:r>
                <w:rPr>
                  <w:rStyle w:val="InternetLink"/>
                  <w:rFonts w:ascii="Times New Roman" w:hAnsi="Times New Roman"/>
                  <w:color w:val="0000FF"/>
                  <w:sz w:val="20"/>
                  <w:u w:val="single"/>
                </w:rPr>
                <w:t>Signatures</w:t>
              </w:r>
            </w:hyperlink>
          </w:p>
        </w:tc>
        <w:tc>
          <w:tcPr>
            <w:tcW w:w="511" w:type="dxa"/>
            <w:tcBorders/>
            <w:shd w:fill="FFFFFF" w:val="clear"/>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40</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special_note_regarding_forward_looking"/>
      <w:bookmarkEnd w:id="2"/>
      <w:r>
        <w:rPr>
          <w:rFonts w:ascii="Times New Roman" w:hAnsi="Times New Roman"/>
          <w:b/>
          <w:color w:val="000000"/>
          <w:sz w:val="20"/>
        </w:rPr>
        <w:t>SPECIAL NOTE REGARDING FORWARD-LOOKING STATEMENTS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This report contains forward-looking statements within the meaning of Section 27A of the Securities Act of 1933, as amended, and Section 21E of the Securities Exchange Act of 1934, as amended (the “Exchange Act”), that involve substantial risks and uncertainties. The forward-looking statements are contained principally in Part I, Item 2. “Management’s Discussion and Analysis of Financial Condition and Results of Operations” of this report, but are also contained elsewhere in this report. We make such forward-looking statements pursuant to the safe harbor provisions of the Private Securities Litigation Reform Act of 1995 and other federal securities laws. All statements other than statements of historical facts contained in this report are forward-looking statements. In some cases, you can identify forward-looking statements by the words “may,” “might,” “will,” “could,” “would,” “should,” “expect,” “intend,” “plan,” “objective,” “anticipate,” “believe,” “estimate,” “predict,” “project,” “potential,” “continue” and “ongoing,” or the negative of these terms, or other comparable terminology intended to identify statements about the future. Forward-looking statements in this report include, but are not limited to, statements about: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potential to receive developmental, regulatory, and commercialization milestone and royalty payments under our Collaboration and License Agreement with F. Hoffmann-La Roche Ltd and Genentech, Inc.;</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plans to research, develop and commercialize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initiation, progress, success, cost and timing of our clinical trials and other product development activities;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therapeutic potential of our product candidates, and the indications for which we intend to develop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our AlloSCOPE</w:t>
      </w:r>
      <w:r>
        <w:rPr>
          <w:rFonts w:ascii="Times New Roman" w:hAnsi="Times New Roman"/>
          <w:color w:val="000000"/>
          <w:sz w:val="13"/>
        </w:rPr>
        <w:t>TM</w:t>
      </w:r>
      <w:r>
        <w:rPr>
          <w:color w:val="000000"/>
        </w:rPr>
        <w:t xml:space="preserve"> </w:t>
      </w:r>
      <w:r>
        <w:rPr>
          <w:rFonts w:ascii="Times New Roman" w:hAnsi="Times New Roman"/>
          <w:color w:val="000000"/>
          <w:sz w:val="20"/>
        </w:rPr>
        <w:t>platform and our ability to successfully manufacture our product candidates for clinical development and, if approved, for commercialization, and the timing and costs of such manufacture;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timing and likelihood of regulatory filings and approvals;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potential of our cell therapy platform;</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obtain additional capital to fund our operations;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potential that holders of outstanding warrants to purchase our common shares will exercise such warrants on a cash basis;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expectations and plans regarding existing and potential future collaborations with third parties such as pharmaceutical and biotechnology companies, government agencies, academic laboratories, and research institutes for the discovery, development, and/or commercialization of novel cell therapy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size and growth of the potential markets for our product candidates and our ability to serve those markets;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potential scope and value of our intellectual property rights; and</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the effects on our operations and workforce and on clinical trials (including those involving OpRegen</w:t>
      </w:r>
      <w:r>
        <w:rPr>
          <w:rFonts w:ascii="Times New Roman" w:hAnsi="Times New Roman"/>
          <w:color w:val="000000"/>
          <w:sz w:val="13"/>
        </w:rPr>
        <w:t>®</w:t>
      </w:r>
      <w:r>
        <w:rPr>
          <w:rFonts w:ascii="Times New Roman" w:hAnsi="Times New Roman"/>
          <w:color w:val="000000"/>
          <w:sz w:val="20"/>
        </w:rPr>
        <w:t>) of the ongoing Israeli regional conflict, the escalation of hostilities in the Middle East resulting from the strikes by Israel and the United States on Iran that commenced on February 28, 2026, and broader geopolitical conflicts, political and economic instability, public health emergencies and macroeconomic conditions.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Forward-looking statements reflect our views and expectations as of the date of this report about future events and our future performance and condition, and involve known and unknown risks, uncertainties and other factors that may cause our actual activities, performance, results or condition to be materially different from those expressed or implied by the forward-looking statements. You should refer to “Item 1A. Risk Factors” in Part II of this report and in Part I of our Annual Report on Form 10-K for the fiscal year ended December 31, 2025 (the “2025 10-K”) as filed with the Securities and Exchange Commission (the “SEC”) on March 5, 2026, for a discussion of important factors that may cause our actual activities, performance, results and condition to differ materially from those expressed or implied by our forward-looking statements. As a result of a variety of factors, including those discussed in Item 1A. Risk Factors in Part II of this report and in Part I of the 2025 10-K, our forward-looking statements may prove to be inaccurate, and the inaccuracy may be material. Accordingly, you should not place undue reliance on any forward-looking statement. We anticipate that subsequent events and developments may cause our current views and expectations to change. However, while we may elect to update the forward-looking statements in this report at some point in the future, we undertake no obligation to publicly update any forward-looking statements, whether as a result of new information, future events or otherwise, except as required by law. You should, therefore, not rely on these forward-looking statements as representing our views as of any date after the date of this report.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You should read this report and the documents that we reference in this report completely and with the understanding that our actual future performance, results and condition may be materially different from what we expect. We qualify all of our forward-looking statements by these cautionary statements.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center"/>
        <w:rPr>
          <w:rFonts w:ascii="Times New Roman" w:hAnsi="Times New Roman"/>
          <w:b/>
          <w:color w:val="000000"/>
          <w:sz w:val="20"/>
        </w:rPr>
      </w:pPr>
      <w:bookmarkStart w:id="3" w:name="market_data_and_trademarks"/>
      <w:bookmarkEnd w:id="3"/>
      <w:r>
        <w:rPr>
          <w:rFonts w:ascii="Times New Roman" w:hAnsi="Times New Roman"/>
          <w:b/>
          <w:color w:val="000000"/>
          <w:sz w:val="20"/>
        </w:rPr>
        <w:t>MARKET DATA AND TRADEMARKS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This report also contains market data, industry forecasts and other data made by independent parties and by us relating to market size and growth and other data about our industry. This data involves a number of assumptions and limitations, and you are cautioned not to give undue weight to such estimates. In addition, projections, assumptions and estimates of our future performance and the future performance of the markets in which we operate are necessarily subject to a high degree of uncertainty and risk.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All brand names or trademarks appearing in this report are the property of their respective owners. Solely for convenience, the trademarks and trade names in this report may be referred to without the symbols </w:t>
      </w:r>
      <w:r>
        <w:rPr>
          <w:rFonts w:ascii="Times New Roman" w:hAnsi="Times New Roman"/>
          <w:color w:val="000000"/>
          <w:sz w:val="13"/>
        </w:rPr>
        <w:t>®</w:t>
      </w:r>
      <w:r>
        <w:rPr>
          <w:rFonts w:ascii="Times New Roman" w:hAnsi="Times New Roman"/>
          <w:color w:val="000000"/>
          <w:sz w:val="20"/>
        </w:rPr>
        <w:t xml:space="preserve"> and </w:t>
      </w:r>
      <w:r>
        <w:rPr>
          <w:rFonts w:ascii="Times New Roman" w:hAnsi="Times New Roman"/>
          <w:color w:val="000000"/>
          <w:sz w:val="13"/>
        </w:rPr>
        <w:t>TM</w:t>
      </w:r>
      <w:r>
        <w:rPr>
          <w:rFonts w:ascii="Times New Roman" w:hAnsi="Times New Roman"/>
          <w:color w:val="000000"/>
          <w:sz w:val="20"/>
        </w:rPr>
        <w:t xml:space="preserve">, but such references should not be construed as any indication that their respective owners will not assert, to the fullest extent under applicable law, their rights thereto.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Unless otherwise stated or the context requires otherwise, references in this report to “Lineage,” the “Company,” “our company,” “we,” “us,” and “our” refer collectively to Lineage Cell Therapeutics, Inc. and its consolidated subsidiaries.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4" w:name="part_i"/>
      <w:bookmarkEnd w:id="4"/>
      <w:r>
        <w:rPr>
          <w:rFonts w:ascii="Times New Roman" w:hAnsi="Times New Roman"/>
          <w:b/>
          <w:color w:val="000000"/>
          <w:sz w:val="20"/>
        </w:rPr>
        <w:t>PART I – FINANCIAL INFORMATION</w:t>
      </w:r>
    </w:p>
    <w:p>
      <w:pPr>
        <w:pStyle w:val="TextBody"/>
        <w:bidi w:val="0"/>
        <w:spacing w:before="240" w:after="283"/>
        <w:jc w:val="both"/>
        <w:rPr>
          <w:rFonts w:ascii="Times New Roman" w:hAnsi="Times New Roman"/>
          <w:b/>
          <w:color w:val="000000"/>
          <w:sz w:val="20"/>
        </w:rPr>
      </w:pPr>
      <w:bookmarkStart w:id="5" w:name="item_1_financial_statements"/>
      <w:bookmarkEnd w:id="5"/>
      <w:r>
        <w:rPr>
          <w:rFonts w:ascii="Times New Roman" w:hAnsi="Times New Roman"/>
          <w:b/>
          <w:color w:val="000000"/>
          <w:sz w:val="20"/>
        </w:rPr>
        <w:t>Item 1. Financial Statements</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LINEAGE CELL THERAPEUTICS, INC. AND SUBSIDIARIES</w:t>
      </w:r>
    </w:p>
    <w:p>
      <w:pPr>
        <w:pStyle w:val="TextBody"/>
        <w:bidi w:val="0"/>
        <w:jc w:val="center"/>
        <w:rPr>
          <w:rFonts w:ascii="Times New Roman" w:hAnsi="Times New Roman"/>
          <w:b/>
          <w:color w:val="000000"/>
          <w:sz w:val="20"/>
        </w:rPr>
      </w:pPr>
      <w:bookmarkStart w:id="6" w:name="consolidated_balance_sheets"/>
      <w:bookmarkEnd w:id="6"/>
      <w:r>
        <w:rPr>
          <w:rFonts w:ascii="Times New Roman" w:hAnsi="Times New Roman"/>
          <w:b/>
          <w:color w:val="000000"/>
          <w:sz w:val="20"/>
        </w:rPr>
        <w:t>CONDENSED 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413"/>
        <w:gridCol w:w="246"/>
        <w:gridCol w:w="249"/>
        <w:gridCol w:w="998"/>
        <w:gridCol w:w="166"/>
        <w:gridCol w:w="246"/>
        <w:gridCol w:w="295"/>
        <w:gridCol w:w="1178"/>
        <w:gridCol w:w="414"/>
      </w:tblGrid>
      <w:tr>
        <w:trPr/>
        <w:tc>
          <w:tcPr>
            <w:tcW w:w="641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6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73"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73"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40,791</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Marketable securities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14,990</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891</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2,485</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assets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59,157</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6413"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ASSETS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2,566</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right-of-use assets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2,131</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Deposits and other long-term assets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Goodwill</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10,672</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Intangible assets, net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31,700</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tax asset, net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5,800</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109,533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112,584</w:t>
            </w:r>
          </w:p>
        </w:tc>
        <w:tc>
          <w:tcPr>
            <w:tcW w:w="414"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40"/>
              <w:jc w:val="left"/>
              <w:rPr/>
            </w:pPr>
            <w:r>
              <w:rPr/>
              <w:t> </w:t>
            </w:r>
          </w:p>
        </w:tc>
      </w:tr>
      <w:tr>
        <w:trPr/>
        <w:tc>
          <w:tcPr>
            <w:tcW w:w="6413"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SHAREHOLDERS’ EQUITY</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 and accrued liabilities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7,181</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 current portion</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Finance lease liabilities, current portion</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revenues, current portion</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3,333</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liabilities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998"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8,148</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178"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11,367</w:t>
            </w:r>
          </w:p>
        </w:tc>
        <w:tc>
          <w:tcPr>
            <w:tcW w:w="414"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40"/>
              <w:jc w:val="left"/>
              <w:rPr/>
            </w:pPr>
            <w:r>
              <w:rPr/>
              <w:t> </w:t>
            </w:r>
          </w:p>
        </w:tc>
      </w:tr>
      <w:tr>
        <w:trPr/>
        <w:tc>
          <w:tcPr>
            <w:tcW w:w="6413"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LIABILITIES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tax liability, net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revenues, net of current portion</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12,377</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 net of current portion</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1,534</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Finance lease liabilities, net of current portion</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Warrant liabilities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43,906</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69,238</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
              <w:jc w:val="left"/>
              <w:rPr/>
            </w:pPr>
            <w:r>
              <w:rPr/>
              <w:t> </w:t>
            </w:r>
          </w:p>
        </w:tc>
      </w:tr>
      <w:tr>
        <w:trPr/>
        <w:tc>
          <w:tcPr>
            <w:tcW w:w="6413"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13)</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6413"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SHAREHOLDERS’ EQUITY</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Preferred shares, no par value, 2,000 shares authorized; none issued and </w:t>
              <w:br/>
              <w:t>   outstanding as of March 31, 2026 and December 31, 2025</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Common shares, no par value, 450,000 shares authorized as of </w:t>
              <w:br/>
              <w:t xml:space="preserve">   March 31, 2026 and December 31, 2025; 249,298 and 243,122 shares issued </w:t>
              <w:br/>
              <w:t>   and outstanding as of March 31, 2026 and December 31, 2025, respectively</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529,656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515,467</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loss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(3,920</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(471,810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(466,998</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4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Lineage's shareholders’ equity</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44,549</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Noncontrolling deficit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(1,203</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4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shareholders’ equity</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43,346</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 AND SHAREHOLDERS’ EQUITY</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109,533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112,584</w:t>
            </w:r>
          </w:p>
        </w:tc>
        <w:tc>
          <w:tcPr>
            <w:tcW w:w="4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the condensed consolidated interim financial statements.</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LINEAGE CELL THERAPEUTICS, INC. AND SUBSIDIARIES</w:t>
      </w:r>
    </w:p>
    <w:p>
      <w:pPr>
        <w:pStyle w:val="TextBody"/>
        <w:bidi w:val="0"/>
        <w:jc w:val="center"/>
        <w:rPr>
          <w:rFonts w:ascii="Times New Roman" w:hAnsi="Times New Roman"/>
          <w:b/>
          <w:color w:val="000000"/>
          <w:sz w:val="20"/>
        </w:rPr>
      </w:pPr>
      <w:bookmarkStart w:id="7" w:name="consolidated_statements_of_operations"/>
      <w:bookmarkEnd w:id="7"/>
      <w:r>
        <w:rPr>
          <w:rFonts w:ascii="Times New Roman" w:hAnsi="Times New Roman"/>
          <w:b/>
          <w:color w:val="000000"/>
          <w:sz w:val="20"/>
        </w:rPr>
        <w:t>CONDENSED CONSOLIDATED STATEMENTS OF OPERATIONS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PER SHARE DATA)</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9824" w:type="dxa"/>
        <w:jc w:val="left"/>
        <w:tblInd w:w="0" w:type="dxa"/>
        <w:tblLayout w:type="fixed"/>
        <w:tblCellMar>
          <w:top w:w="28" w:type="dxa"/>
          <w:left w:w="28" w:type="dxa"/>
          <w:bottom w:w="28" w:type="dxa"/>
          <w:right w:w="28" w:type="dxa"/>
        </w:tblCellMar>
      </w:tblPr>
      <w:tblGrid>
        <w:gridCol w:w="6991"/>
        <w:gridCol w:w="146"/>
        <w:gridCol w:w="211"/>
        <w:gridCol w:w="781"/>
        <w:gridCol w:w="166"/>
        <w:gridCol w:w="146"/>
        <w:gridCol w:w="211"/>
        <w:gridCol w:w="781"/>
        <w:gridCol w:w="391"/>
      </w:tblGrid>
      <w:tr>
        <w:trPr/>
        <w:tc>
          <w:tcPr>
            <w:tcW w:w="6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6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Three Months Ended 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9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Collaboration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9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Royalties, license and other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3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r>
      <w:tr>
        <w:trPr/>
        <w:tc>
          <w:tcPr>
            <w:tcW w:w="6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9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Cost of royalties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9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9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9,318</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8,007</w:t>
            </w:r>
          </w:p>
        </w:tc>
        <w:tc>
          <w:tcPr>
            <w:tcW w:w="3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6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INCOME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9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9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Gain (loss) on marketable equity securities,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69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Change in fair value of warrant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9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Foreign currency transaction gain (loss),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69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income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attributable to 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 ATTRIBUTABLE TO LINEAGE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 PER COMMON SHARE ATTRIBUTABLE TO LINEAGE: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9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69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 xml:space="preserve">WEIGHTED-AVERAGE COMMON SHARES USED TO COMPUTE NET LOSS </w:t>
              <w:br/>
              <w:t>   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9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245,029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226,054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69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261,175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226,054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See accompanying notes to the condensed consolidated interim financial statements.</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LINEAGE CELL THERAPEUTICS, INC. AND SUBSIDIARIES</w:t>
      </w:r>
    </w:p>
    <w:p>
      <w:pPr>
        <w:pStyle w:val="TextBody"/>
        <w:bidi w:val="0"/>
        <w:jc w:val="center"/>
        <w:rPr>
          <w:rFonts w:ascii="Times New Roman" w:hAnsi="Times New Roman"/>
          <w:b/>
          <w:color w:val="000000"/>
          <w:sz w:val="20"/>
        </w:rPr>
      </w:pPr>
      <w:bookmarkStart w:id="8" w:name="consolidated_statements_comp_loss"/>
      <w:bookmarkEnd w:id="8"/>
      <w:r>
        <w:rPr>
          <w:rFonts w:ascii="Times New Roman" w:hAnsi="Times New Roman"/>
          <w:b/>
          <w:color w:val="000000"/>
          <w:sz w:val="20"/>
        </w:rPr>
        <w:t>CONDENSED CONSOLIDATED STATEMENTS OF COMPREHENSIVE LOSS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7972" w:type="dxa"/>
        <w:jc w:val="left"/>
        <w:tblInd w:w="0" w:type="dxa"/>
        <w:tblLayout w:type="fixed"/>
        <w:tblCellMar>
          <w:top w:w="28" w:type="dxa"/>
          <w:left w:w="28" w:type="dxa"/>
          <w:bottom w:w="28" w:type="dxa"/>
          <w:right w:w="28" w:type="dxa"/>
        </w:tblCellMar>
      </w:tblPr>
      <w:tblGrid>
        <w:gridCol w:w="5311"/>
        <w:gridCol w:w="146"/>
        <w:gridCol w:w="233"/>
        <w:gridCol w:w="697"/>
        <w:gridCol w:w="183"/>
        <w:gridCol w:w="161"/>
        <w:gridCol w:w="233"/>
        <w:gridCol w:w="697"/>
        <w:gridCol w:w="311"/>
      </w:tblGrid>
      <w:tr>
        <w:trPr/>
        <w:tc>
          <w:tcPr>
            <w:tcW w:w="5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5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Three Months Ended March 31,</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(4,789</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(4,143</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Foreign currency translation adjustment,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Unrealized loss on marketable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(4,840</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(3,948</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5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 xml:space="preserve">Comprehensive (income) loss attributable to </w:t>
              <w:br/>
              <w:t>   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 xml:space="preserve">COMPREHENSIVE LOSS ATTRIBUTABLE TO LINEAGE </w:t>
              <w:br/>
              <w:t>   COMMON SHAREHOLDERS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(4,863</w:t>
            </w:r>
          </w:p>
        </w:tc>
        <w:tc>
          <w:tcPr>
            <w:tcW w:w="1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(3,944</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the condensed consolidated interim financial statements.</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LINEAGE CELL THERAPEUTICS, INC. AND SUBSIDIARIES</w:t>
      </w:r>
    </w:p>
    <w:p>
      <w:pPr>
        <w:pStyle w:val="TextBody"/>
        <w:bidi w:val="0"/>
        <w:jc w:val="center"/>
        <w:rPr>
          <w:rFonts w:ascii="Times New Roman" w:hAnsi="Times New Roman"/>
          <w:b/>
          <w:color w:val="000000"/>
          <w:sz w:val="20"/>
        </w:rPr>
      </w:pPr>
      <w:bookmarkStart w:id="9" w:name="consolidated_statements_of_equity"/>
      <w:bookmarkEnd w:id="9"/>
      <w:r>
        <w:rPr>
          <w:rFonts w:ascii="Times New Roman" w:hAnsi="Times New Roman"/>
          <w:b/>
          <w:color w:val="000000"/>
          <w:sz w:val="20"/>
        </w:rPr>
        <w:t>CONDENSED CONSOLIDATED STATEMENTS OF CHANGES IN SHAREHOLDERS’ EQUITY</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761"/>
        <w:gridCol w:w="146"/>
        <w:gridCol w:w="146"/>
        <w:gridCol w:w="781"/>
        <w:gridCol w:w="146"/>
        <w:gridCol w:w="146"/>
        <w:gridCol w:w="211"/>
        <w:gridCol w:w="781"/>
        <w:gridCol w:w="166"/>
        <w:gridCol w:w="146"/>
        <w:gridCol w:w="211"/>
        <w:gridCol w:w="841"/>
        <w:gridCol w:w="166"/>
        <w:gridCol w:w="146"/>
        <w:gridCol w:w="300"/>
        <w:gridCol w:w="901"/>
        <w:gridCol w:w="166"/>
        <w:gridCol w:w="146"/>
        <w:gridCol w:w="304"/>
        <w:gridCol w:w="912"/>
        <w:gridCol w:w="166"/>
        <w:gridCol w:w="146"/>
        <w:gridCol w:w="251"/>
        <w:gridCol w:w="806"/>
        <w:gridCol w:w="313"/>
      </w:tblGrid>
      <w:tr>
        <w:trPr/>
        <w:tc>
          <w:tcPr>
            <w:tcW w:w="17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c>
          <w:tcPr>
            <w:tcW w:w="9892" w:type="dxa"/>
            <w:gridSpan w:val="2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 2026</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1"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Noncontrolling</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Shareholders’</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 /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243,122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515,467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(466,998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43,346</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 xml:space="preserve">Shares issued upon vesting of restricted stock units, </w:t>
              <w:br/>
              <w:t>   net of shares retired to pay employees’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17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Shares issued upon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Shares issued upon exercise of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5,388</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Derivative warrant liability reclassified to share</w:t>
              <w:br/>
              <w:t>   capital on exercise of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7,442</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1,172</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Unrealized loss on marketable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17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Foreign currency translation adjustment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17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(4,789</w:t>
            </w:r>
          </w:p>
        </w:tc>
        <w:tc>
          <w:tcPr>
            <w:tcW w:w="3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249,298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529,656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(471,810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(1,180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(3,971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52,695</w:t>
            </w:r>
          </w:p>
        </w:tc>
        <w:tc>
          <w:tcPr>
            <w:tcW w:w="3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761"/>
        <w:gridCol w:w="146"/>
        <w:gridCol w:w="146"/>
        <w:gridCol w:w="781"/>
        <w:gridCol w:w="146"/>
        <w:gridCol w:w="146"/>
        <w:gridCol w:w="211"/>
        <w:gridCol w:w="781"/>
        <w:gridCol w:w="166"/>
        <w:gridCol w:w="146"/>
        <w:gridCol w:w="211"/>
        <w:gridCol w:w="841"/>
        <w:gridCol w:w="166"/>
        <w:gridCol w:w="146"/>
        <w:gridCol w:w="300"/>
        <w:gridCol w:w="901"/>
        <w:gridCol w:w="166"/>
        <w:gridCol w:w="146"/>
        <w:gridCol w:w="304"/>
        <w:gridCol w:w="912"/>
        <w:gridCol w:w="166"/>
        <w:gridCol w:w="146"/>
        <w:gridCol w:w="251"/>
        <w:gridCol w:w="806"/>
        <w:gridCol w:w="313"/>
      </w:tblGrid>
      <w:tr>
        <w:trPr/>
        <w:tc>
          <w:tcPr>
            <w:tcW w:w="17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c>
          <w:tcPr>
            <w:tcW w:w="9892" w:type="dxa"/>
            <w:gridSpan w:val="2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 2025</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1"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Noncontrolling</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Shareholders’</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 /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220,416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484,722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(403,465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77,012</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Shares issued through registered direct financing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3,795</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Financing related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17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 xml:space="preserve">Shares issued upon vesting of restricted stock units, </w:t>
              <w:br/>
              <w:t>   net of shares retired to pay employees’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17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1,217</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Unrealized loss on marketable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17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Foreign currency translation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(4,143</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228,356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489,313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(407,604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(1,373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(2,681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77,655</w:t>
            </w:r>
          </w:p>
        </w:tc>
        <w:tc>
          <w:tcPr>
            <w:tcW w:w="3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the condensed consolidated interim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LINEAGE CELL THERAPEUTICS, INC. AND SUBSIDIARIES</w:t>
      </w:r>
    </w:p>
    <w:p>
      <w:pPr>
        <w:pStyle w:val="TextBody"/>
        <w:bidi w:val="0"/>
        <w:jc w:val="center"/>
        <w:rPr>
          <w:rFonts w:ascii="Times New Roman" w:hAnsi="Times New Roman"/>
          <w:b/>
          <w:color w:val="000000"/>
          <w:sz w:val="20"/>
        </w:rPr>
      </w:pPr>
      <w:bookmarkStart w:id="10" w:name="consolidated_statements_of_cash_flows"/>
      <w:bookmarkEnd w:id="10"/>
      <w:r>
        <w:rPr>
          <w:rFonts w:ascii="Times New Roman" w:hAnsi="Times New Roman"/>
          <w:b/>
          <w:color w:val="000000"/>
          <w:sz w:val="20"/>
        </w:rPr>
        <w:t>CONDENSED 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8749" w:type="dxa"/>
        <w:jc w:val="left"/>
        <w:tblInd w:w="0" w:type="dxa"/>
        <w:tblLayout w:type="fixed"/>
        <w:tblCellMar>
          <w:top w:w="28" w:type="dxa"/>
          <w:left w:w="28" w:type="dxa"/>
          <w:bottom w:w="28" w:type="dxa"/>
          <w:right w:w="28" w:type="dxa"/>
        </w:tblCellMar>
      </w:tblPr>
      <w:tblGrid>
        <w:gridCol w:w="6286"/>
        <w:gridCol w:w="146"/>
        <w:gridCol w:w="196"/>
        <w:gridCol w:w="601"/>
        <w:gridCol w:w="166"/>
        <w:gridCol w:w="146"/>
        <w:gridCol w:w="196"/>
        <w:gridCol w:w="601"/>
        <w:gridCol w:w="411"/>
      </w:tblGrid>
      <w:tr>
        <w:trPr/>
        <w:tc>
          <w:tcPr>
            <w:tcW w:w="6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Three Months Ended March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 attributable to Lineage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(4,139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 (loss) attributable to 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Adjustments to reconcile net loss attributable to Lineage Cell Therapeutics, Inc. </w:t>
              <w:br/>
              <w:t>   to 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Issuance costs for common stock warrant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(Gain) loss on marketable equity securities,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Accretion of income on marketable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Depreciation and amortization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Change in right-of-use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Change in fair value of warrant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(2,305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Foreign currency remeasurement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Loss on disposal of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Accounts payable and 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(4,886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Purchases of marketable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Maturities of marketable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Purchase of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cash (used in)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1,903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Proceeds from employee options exercised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Proceeds from exercise of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Common shares received and retired for employee taxes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 xml:space="preserve">Proceeds from sale of common shares with warrants under registered </w:t>
              <w:br/>
              <w:t>   direct financing, net of offering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5,297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Payment of financed insurance premium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Payment of finance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cash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5,044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Effect of exchange rate changes on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 xml:space="preserve">NET (DECREASE) INCREASE IN CASH, CASH EQUIVALENTS AND </w:t>
              <w:br/>
              <w:t>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1,988</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At beginning of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41,324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46,354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At end of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36,476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48,342</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SUPPLEMENTAL DISCLOSURES: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Cash paid for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 xml:space="preserve">SUPPLEMENTAL SCHEDULE OF NON-CASH FINANCING AND </w:t>
              <w:br/>
              <w:t>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Property and equipment expenditures in 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Financing costs in accounts payable and 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Fair value of warrant liability recognized upon issuance in registered direct financing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2,205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Derivative warrant liability reclassified to equity on exercise of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 xml:space="preserve">RECONCILIATION OF CASH, CASH EQUIVALENTS AND RESTRICTED CASH, </w:t>
              <w:br/>
              <w: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35,939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47,886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 xml:space="preserve">Restricted cash included in deposits and other long-term assets </w:t>
              <w:br/>
              <w:t>   (see Note 13 (Commitments and Contingencies))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36,476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48,342</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the condensed consolidated interim financial statements.</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LINEAGE CELL THERAPEUTICS, INC. AND SUBSIDIARIES</w:t>
      </w:r>
    </w:p>
    <w:p>
      <w:pPr>
        <w:pStyle w:val="TextBody"/>
        <w:bidi w:val="0"/>
        <w:jc w:val="center"/>
        <w:rPr>
          <w:rFonts w:ascii="Times New Roman" w:hAnsi="Times New Roman"/>
          <w:b/>
          <w:color w:val="000000"/>
          <w:sz w:val="20"/>
        </w:rPr>
      </w:pPr>
      <w:bookmarkStart w:id="11" w:name="notes_to_the_consolidated_financial"/>
      <w:bookmarkEnd w:id="11"/>
      <w:r>
        <w:rPr>
          <w:rFonts w:ascii="Times New Roman" w:hAnsi="Times New Roman"/>
          <w:b/>
          <w:color w:val="000000"/>
          <w:sz w:val="20"/>
        </w:rPr>
        <w:t>NOTES TO THE CONDENSED CONSOLIDATED INTERIM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1. Organization, Basis of Presentation and Liquidity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a clinical-stage biotechnology company developing cell replacement therapies to treat serious medical conditions. Certain diseases and medical events can arise from the loss of critical cellular activity and lead to devastating or difficult-to-treat conditions or impairments. Our work is grounded in the emerging evidence that replacing or supporting those cells that have become dysfunctional or “lost” (destroyed or dead) can restore or replenish normal function and improve treatment and recovery paradigms. We call this approach “Replace and Restore”. We believe cellular therapies aimed at replacing dysfunctional or destroyed cells may have more durable, broader, or suitable applicability than traditional pharmaceutical products, which often seek to affect just a single molecular target or group of biological pathways. Transplantation of replacement cells represents an emerging branch of medicine, and we believe we are uniquely positioned to capitalize on its opportunities by demonstrating the value of administering mature, differentiated cells to patients.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lead program, OpRegen, an allogeneic retinal pigmented epithelial (RPE) cell replacement therapy, is currently in Phase 2a development under a worldwide collaboration with F. Hoffmann-La Roche Ltd. and Genentech, Inc., a member of the Roche Group (collectively or individually, “Roche” or “Genentech”), for the treatment of geographic atrophy (GA) secondary to dry-AMD. Our second clinical-stage program, OPC1, is an allogeneic oligodendrocyte progenitor cell therapy designed to improve recovery following a spinal cord injury. One of our preclinical programs, ReSonance (ANP1), is an allogeneic auditory neuron progenitor cell transplant therapy currently in preclinical development under collaboration with William Demant Invest 2 Aps (WDI) for the treatment of auditory neuropathy.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Basis of Presentation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accompanying unaudited condensed consolidated interim financial statements were prepared in accordance with generally accepted accounting principles in the United States (“GAAP”) for interim financial information and with the instructions to Form 10-Q and Article 8 of Regulation S-X. In accordance with those rules and regulations, certain information and footnote disclosures normally included in comprehensive consolidated financial statements have been condensed or omitted. The condensed consolidated balance sheet as of December 31, 2025 was derived from the audited consolidated financial statements at that date but does not include all the information and footnotes required by GAAP. These accompanying unaudited condensed consolidated interim financial statements should be read in conjunction with the audited consolidated financial statements and notes thereto included in the 2025 10-K.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accompanying unaudited condensed consolidated interim financial statements, in the opinion of management, include all adjustments, consisting only of normal recurring adjustments, necessary for a fair presentation of our financial condition and results of operations. The condensed consolidated interim results of operations are not necessarily indicative of the results to be expected for any other interim period or for the entire year.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Segments and Principles of Consolidation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chief operating decision maker (“CODM”), our Chief Executive Officer, manages our business activities as a single operating and reportable segment at the consolidated level. The information in our condensed consolidated interim financial statements is the only financial information regularly provided to our CODM and there are no other significant expense categories regularly reviewed by our CODM. Accordingly, our CODM uses consolidated net loss to measure segment profit or loss, allocate resources and assess performance. Further, our CODM reviews and utilizes revenue and functional expenses (cost of royalties, research and development, and general and administrative) at the consolidated level to manage our operations. Other segment items included in consolidated net loss are interest income, gain (loss) on marketable equity securities, change in fair value of warrant liability, foreign currency transaction gain (loss), and other income (expense), and the provision for income tax benefit (if applicable), which are reflected in the condensed consolidated statements of operations.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reflects Lineage’s ownership, directly or through one or more subsidiaries, of the outstanding shares of its operating subsidiaries as of March 31, 2026:</w:t>
      </w:r>
    </w:p>
    <w:p>
      <w:pPr>
        <w:pStyle w:val="TextBody"/>
        <w:bidi w:val="0"/>
        <w:jc w:val="both"/>
        <w:rPr/>
      </w:pPr>
      <w:r>
        <w:rPr/>
        <w:t> </w:t>
      </w:r>
    </w:p>
    <w:tbl>
      <w:tblPr>
        <w:tblW w:w="9472" w:type="dxa"/>
        <w:jc w:val="left"/>
        <w:tblInd w:w="0" w:type="dxa"/>
        <w:tblLayout w:type="fixed"/>
        <w:tblCellMar>
          <w:top w:w="28" w:type="dxa"/>
          <w:left w:w="28" w:type="dxa"/>
          <w:bottom w:w="28" w:type="dxa"/>
          <w:right w:w="28" w:type="dxa"/>
        </w:tblCellMar>
      </w:tblPr>
      <w:tblGrid>
        <w:gridCol w:w="3211"/>
        <w:gridCol w:w="146"/>
        <w:gridCol w:w="3961"/>
        <w:gridCol w:w="146"/>
        <w:gridCol w:w="886"/>
        <w:gridCol w:w="146"/>
        <w:gridCol w:w="976"/>
      </w:tblGrid>
      <w:tr>
        <w:trPr/>
        <w:tc>
          <w:tcPr>
            <w:tcW w:w="3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3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Subsidiary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Field of Business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Lineage </w:t>
              <w:br/>
              <w:t>Ownership</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Country</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Cell Cure Neurosciences Ltd. ("CCN")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Manufacturing of Lineage’s product candidates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94%</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Israel</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ES Cell International Pte. Ltd. ("ESI")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clinical grade cell lines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Singapore</w:t>
            </w:r>
          </w:p>
        </w:tc>
      </w:tr>
    </w:tbl>
    <w:p>
      <w:pPr>
        <w:pStyle w:val="TextBody"/>
        <w:pBdr>
          <w:bottom w:val="single" w:sz="6" w:space="1" w:color="000000"/>
        </w:pBdr>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Includes shares owned by Lineage and ESI.</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LINEAGE CELL THERAPEUTICS,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THE CONDENSED CONSOLIDATED INTERIM FINANCIAL STATEMENTS (CONTINUED)</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p>
      <w:pPr>
        <w:pStyle w:val="TextBody"/>
        <w:bidi w:val="0"/>
        <w:jc w:val="center"/>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All material intercompany accounts and transactions have been eliminated in consolidation. Lineage consolidates its direct and indirect wholly owned or majority-owned subsidiaries because Lineage has the ability to control their operating and financial decisions and policies through its ownership, and the noncontrolling interest is reflected as a separate element of shareholders’ equity on Lineage’s unaudited condensed consolidated balance sheets.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Liquidity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March 31, 2026, we had $53.4 million of cash, cash equivalents and marketable securities. Based on our current operating plan, we believe that our cash, cash equivalents and marketable securities will be sufficient to enable us to carry out our planned operations through at least twelve months from the issuance date of our accompanying condensed consolidated interim financial statements.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Capital Resources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Since inception, we have incurred significant operating losses and have funded our operations primarily through the issuance of equity securities, the sale of common stock of our former subsidiaries, receipt of proceeds from research grants, revenues from collaborations, royalties from product sales, and sales of research products and services.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of March 31, 2026, we had $17.4 million of marketable securities (see Note 4, Marketable Securities for additional information). We may use our marketable securities for liquidity as necessary and as market conditions allow.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Additional Capital Requirements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financial obligations primarily consist of obligations to licensors under license agreements, obligations related to grants received from government entities, including the Israel Innovation Authority (“IIA”), obligations under contracts with vendors who provide research services and purchase commitments with suppliers.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obligations to licensors under license agreements and our obligations related to grants received from government entities require us to make future payments, such as sublicense fees, milestone payments, redemption fees, royalty fees and patent maintenance fees. Sublicense fees are payable to licensors or government entities when we sublicense the applicable intellectual property to third parties; the fees are based on a percentage of the license-related revenue we receive from sublicensees. Milestone payments, including those related to the worldwide collaboration with Roche (Roche Agreement), are due to licensors or government entities upon achievement of commercial, development and regulatory milestones. Redemption fees due to the IIA under the Innovation Law are due upon receipt of milestone payments and royalties received under the Roche Agreement. See Note 13 (Commitments and Contingencies) for additional information. Royalties, including those related to royalties we may receive under the Roche Agreement, are payable to licensors or government entities based on a percentage of net sales of licensed products. Patent maintenance fees are payable to licensors as reimbursement for the cost of maintaining license patents. Due to the contingent nature of the payments, the amounts and timing of payments to licensors under our in-license agreements are uncertain and may fluctuate significantly from period to period. As of March 31, 2026, we had not included these commitments on our condensed consolidated balance sheet because the achievement of events that would trigger our payment obligations and the timing thereof were not fixed and determinable.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the normal course of business, we enter into services agreements with contract research organizations, contract manufacturing organizations and other third parties. Generally, these agreements provide for termination upon notice, with specified amounts due upon termination based on the timing of termination and the terms of the agreement. The amounts and timing of payments under these agreements are uncertain and contingent upon the initiation and completion of the services to be provided.</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2. Summary of Significant Accounting Policies</w:t>
      </w:r>
    </w:p>
    <w:p>
      <w:pPr>
        <w:pStyle w:val="TextBody"/>
        <w:bidi w:val="0"/>
        <w:spacing w:before="120" w:after="283"/>
        <w:jc w:val="both"/>
        <w:rPr>
          <w:rFonts w:ascii="Times New Roman" w:hAnsi="Times New Roman"/>
          <w:sz w:val="20"/>
        </w:rPr>
      </w:pPr>
      <w:r>
        <w:rPr>
          <w:rFonts w:ascii="Times New Roman" w:hAnsi="Times New Roman"/>
          <w:i/>
          <w:color w:val="000000"/>
          <w:sz w:val="20"/>
        </w:rPr>
        <w:t>Significant Accounting Policies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describe our significant accounting policies in Note 2 to the consolidated financial statements in Item 8 of the 2025 10-K. There have been no changes to our significant accounting policies during the three months ended March 31, 2026.</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LINEAGE CELL THERAPEUTICS,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THE CONDENSED CONSOLIDATED INTERIM FINANCIAL STATEMENTS (CONTINUED)</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p>
      <w:pPr>
        <w:pStyle w:val="TextBody"/>
        <w:bidi w:val="0"/>
        <w:jc w:val="center"/>
        <w:rPr/>
      </w:pPr>
      <w:r>
        <w:rPr/>
        <w:t> </w:t>
      </w:r>
    </w:p>
    <w:p>
      <w:pPr>
        <w:pStyle w:val="TextBody"/>
        <w:bidi w:val="0"/>
        <w:spacing w:before="360" w:after="283"/>
        <w:jc w:val="both"/>
        <w:rPr>
          <w:rFonts w:ascii="Times New Roman" w:hAnsi="Times New Roman"/>
          <w:sz w:val="20"/>
        </w:rPr>
      </w:pPr>
      <w:r>
        <w:rPr>
          <w:rFonts w:ascii="Times New Roman" w:hAnsi="Times New Roman"/>
          <w:b/>
          <w:i/>
          <w:color w:val="000000"/>
          <w:sz w:val="20"/>
        </w:rPr>
        <w:t>Recently Adopted Accounting Pronouncements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December 2023, the FASB issued ASU 2023-09, Income Taxes (Topic 740) - Improvements to Income Tax Disclosures. The new standard requires a company to expand its existing income tax disclosures, specifically related to the rate reconciliation and income taxes paid. The standard is effective for annual periods beginning in fiscal year 2025 and its adoption did not have a material impact on our condensed consolidated financial statements.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July 2025, the FASB issued ASU 2025-05, Financial Instruments—Credit Losses (Topic 326): Measurement of Credit Losses for Accounts Receivable and Contract Assets. The new standard provides a practical expedient related to the estimation of expected credit losses for current accounts receivable and current contract assets that arise from transactions accounted for under ASC 606. The standard is effective for fiscal years beginning after December 15, 2025 and interim periods within those fiscal years and its adoption, which was applied prospectively, did not have a material impact on our condensed consolidated financial statements.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Recently Issued Accounting Pronouncements Not Yet Adopted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November 2024, the FASB issued ASU 2024-03, Disaggregation of Income Statement Expenses (Subtopic 220-40): Disaggregation of Income Statement Expenses (“ASU 2024-03”). The purpose of ASU 2024-03 is to improve the disclosures about a public business entity’s expenses and address requests from investors for more detailed information about the types of expenses (including purchases of inventory, employee compensation, depreciation, amortization, and depletion) in commonly presented expense captions (such as cost of royalties, SG&amp;A, and research and development). ASU 2024-03 is effective for fiscal years beginning after December 15, 2026 and interim periods within fiscal years beginning after December 15, 2027. Early adoption is permitted. We are currently assessing the impact that this new guidance will have on our consolidated financial statements.</w:t>
      </w:r>
    </w:p>
    <w:p>
      <w:pPr>
        <w:pStyle w:val="TextBody"/>
        <w:bidi w:val="0"/>
        <w:spacing w:before="360" w:after="283"/>
        <w:jc w:val="both"/>
        <w:rPr>
          <w:rFonts w:ascii="Times New Roman" w:hAnsi="Times New Roman"/>
          <w:sz w:val="20"/>
        </w:rPr>
      </w:pPr>
      <w:r>
        <w:rPr>
          <w:rFonts w:ascii="Times New Roman" w:hAnsi="Times New Roman"/>
          <w:b/>
          <w:color w:val="000000"/>
          <w:sz w:val="20"/>
        </w:rPr>
        <w:t>3. Revenue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revenue is primarily generated from our collaborative research and development agreements as well as royalty and other service agreement revenues.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Revenues under our agreements with Roche and WDI are within the scope of ASU 2014-09 – Revenue from Contracts with Customers (Topic 606) and is recognized over time as collaboration revenue using the input method as it represents the most appropriate measure of progress towards satisfaction of the identified performance obligation. Under the input method, the ratio of the costs incurred over total estimated costs to be incurred is used to measure progress toward completion of the performance obligation and to calculate the corresponding revenue to recognize each period. During each reporting period, we update our total estimated collaboration costs, and any resulting adjustments are recorded on a cumulative basis, which would affect revenue and deferred revenue (the latter, if applicable) in the period of adjustment.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disaggregated revenues were as follows for the periods presented (in thousands): </w:t>
      </w:r>
    </w:p>
    <w:p>
      <w:pPr>
        <w:pStyle w:val="TextBody"/>
        <w:bidi w:val="0"/>
        <w:jc w:val="left"/>
        <w:rPr/>
      </w:pPr>
      <w:r>
        <w:rPr/>
        <w:t> </w:t>
      </w:r>
    </w:p>
    <w:tbl>
      <w:tblPr>
        <w:tblW w:w="7375" w:type="dxa"/>
        <w:jc w:val="left"/>
        <w:tblInd w:w="0" w:type="dxa"/>
        <w:tblLayout w:type="fixed"/>
        <w:tblCellMar>
          <w:top w:w="28" w:type="dxa"/>
          <w:left w:w="28" w:type="dxa"/>
          <w:bottom w:w="28" w:type="dxa"/>
          <w:right w:w="28" w:type="dxa"/>
        </w:tblCellMar>
      </w:tblPr>
      <w:tblGrid>
        <w:gridCol w:w="4976"/>
        <w:gridCol w:w="146"/>
        <w:gridCol w:w="223"/>
        <w:gridCol w:w="604"/>
        <w:gridCol w:w="154"/>
        <w:gridCol w:w="154"/>
        <w:gridCol w:w="223"/>
        <w:gridCol w:w="604"/>
        <w:gridCol w:w="291"/>
      </w:tblGrid>
      <w:tr>
        <w:trPr/>
        <w:tc>
          <w:tcPr>
            <w:tcW w:w="4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Three Months Ended March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 under collaborative agreements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9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Upfront license fees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1,270</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9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Event-based milestones and other collaborative revenue </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 under collaborative agreements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Royalties, license and other revenues </w:t>
            </w:r>
            <w:r>
              <w:rPr>
                <w:rFonts w:ascii="Times New Roman" w:hAnsi="Times New Roman"/>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1,725</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1,502</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both"/>
        <w:rPr>
          <w:rFonts w:ascii="Times New Roman" w:hAnsi="Times New Roman"/>
          <w:sz w:val="22"/>
        </w:rPr>
      </w:pPr>
      <w:r>
        <w:rPr>
          <w:rFonts w:ascii="Times New Roman" w:hAnsi="Times New Roman"/>
          <w:color w:val="000000"/>
          <w:sz w:val="20"/>
        </w:rPr>
        <w:t>All of the upfront license fee revenue recognized each period was included within deferred revenue as contract liabilities at the beginning of each period.</w:t>
      </w:r>
      <w:r>
        <w:rPr>
          <w:rFonts w:ascii="Times New Roman" w:hAnsi="Times New Roman"/>
          <w:color w:val="000000"/>
          <w:sz w:val="22"/>
        </w:rPr>
        <w:t xml:space="preserve">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40" w:after="283"/>
        <w:jc w:val="both"/>
        <w:rPr>
          <w:rFonts w:ascii="Times New Roman" w:hAnsi="Times New Roman"/>
          <w:sz w:val="22"/>
        </w:rPr>
      </w:pPr>
      <w:r>
        <w:rPr>
          <w:rFonts w:ascii="Times New Roman" w:hAnsi="Times New Roman"/>
          <w:color w:val="000000"/>
          <w:sz w:val="20"/>
        </w:rPr>
        <w:t>$113,000</w:t>
      </w:r>
      <w:r>
        <w:rPr>
          <w:rFonts w:ascii="Times New Roman" w:hAnsi="Times New Roman"/>
          <w:color w:val="000000"/>
          <w:sz w:val="22"/>
        </w:rPr>
        <w:t xml:space="preserve"> </w:t>
      </w:r>
      <w:r>
        <w:rPr>
          <w:rFonts w:ascii="Times New Roman" w:hAnsi="Times New Roman"/>
          <w:color w:val="000000"/>
          <w:sz w:val="20"/>
        </w:rPr>
        <w:t>of the event-based milestones and other collaborative revenue recognized in 2026 was included within deferred revenues as contract liabilities as of the beginning of the period.</w:t>
      </w:r>
      <w:r>
        <w:rPr>
          <w:rFonts w:ascii="Times New Roman" w:hAnsi="Times New Roman"/>
          <w:color w:val="000000"/>
          <w:sz w:val="22"/>
        </w:rPr>
        <w:t xml:space="preserve">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40" w:after="283"/>
        <w:jc w:val="both"/>
        <w:rPr>
          <w:rFonts w:ascii="Times New Roman" w:hAnsi="Times New Roman"/>
          <w:sz w:val="22"/>
        </w:rPr>
      </w:pPr>
      <w:r>
        <w:rPr>
          <w:rFonts w:ascii="Times New Roman" w:hAnsi="Times New Roman"/>
          <w:color w:val="000000"/>
          <w:sz w:val="20"/>
        </w:rPr>
        <w:t>Of the royalties, license and other revenues recognized each period, $22,000</w:t>
      </w:r>
      <w:r>
        <w:rPr>
          <w:rFonts w:ascii="Times New Roman" w:hAnsi="Times New Roman"/>
          <w:color w:val="000000"/>
          <w:sz w:val="22"/>
        </w:rPr>
        <w:t xml:space="preserve"> </w:t>
      </w:r>
      <w:r>
        <w:rPr>
          <w:rFonts w:ascii="Times New Roman" w:hAnsi="Times New Roman"/>
          <w:color w:val="000000"/>
          <w:sz w:val="20"/>
        </w:rPr>
        <w:t>and $9,000</w:t>
      </w:r>
      <w:r>
        <w:rPr>
          <w:rFonts w:ascii="Times New Roman" w:hAnsi="Times New Roman"/>
          <w:color w:val="000000"/>
          <w:sz w:val="22"/>
        </w:rPr>
        <w:t xml:space="preserve"> </w:t>
      </w:r>
      <w:r>
        <w:rPr>
          <w:rFonts w:ascii="Times New Roman" w:hAnsi="Times New Roman"/>
          <w:color w:val="000000"/>
          <w:sz w:val="20"/>
        </w:rPr>
        <w:t>was included within deferred revenues as contract liabilities as of January 1, 2026 and 2025, respectively.</w:t>
      </w:r>
      <w:r>
        <w:rPr>
          <w:rFonts w:ascii="Times New Roman" w:hAnsi="Times New Roman"/>
          <w:color w:val="000000"/>
          <w:sz w:val="22"/>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LINEAGE CELL THERAPEUTICS,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THE CONDENSED CONSOLIDATED INTERIM FINANCIAL STATEMENTS (CONTINUED)</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p>
      <w:pPr>
        <w:pStyle w:val="TextBody"/>
        <w:bidi w:val="0"/>
        <w:jc w:val="center"/>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For contracts with customers, including collaboration partners which are within the scope of Topic 606, the aggregate amount of the transaction price allocated to remaining performance obligations as of March 31, 2026 was $16.8 million, of which $14.7 million is reported as deferred revenues. The $16.8 million is estimated to be substantially recognized as revenue by December 2027.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Accounts receivable and deferred revenues (contract liabilities) from contracts with customers, including collaboration partners, consisted of the following (in thousands):</w:t>
      </w:r>
    </w:p>
    <w:p>
      <w:pPr>
        <w:pStyle w:val="TextBody"/>
        <w:bidi w:val="0"/>
        <w:jc w:val="both"/>
        <w:rPr/>
      </w:pPr>
      <w:r>
        <w:rPr/>
        <w:t> </w:t>
      </w:r>
    </w:p>
    <w:tbl>
      <w:tblPr>
        <w:tblW w:w="6805" w:type="dxa"/>
        <w:jc w:val="left"/>
        <w:tblInd w:w="0" w:type="dxa"/>
        <w:tblLayout w:type="fixed"/>
        <w:tblCellMar>
          <w:top w:w="28" w:type="dxa"/>
          <w:left w:w="28" w:type="dxa"/>
          <w:bottom w:w="28" w:type="dxa"/>
          <w:right w:w="28" w:type="dxa"/>
        </w:tblCellMar>
      </w:tblPr>
      <w:tblGrid>
        <w:gridCol w:w="3661"/>
        <w:gridCol w:w="146"/>
        <w:gridCol w:w="264"/>
        <w:gridCol w:w="846"/>
        <w:gridCol w:w="146"/>
        <w:gridCol w:w="146"/>
        <w:gridCol w:w="310"/>
        <w:gridCol w:w="995"/>
        <w:gridCol w:w="291"/>
      </w:tblGrid>
      <w:tr>
        <w:trPr/>
        <w:tc>
          <w:tcPr>
            <w:tcW w:w="3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December 31, 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 - beginning of the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 - end of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891</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Deferred revenues - beginning of the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21,821</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Deferred revenues - end of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15,710</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Contract assets, which consist of revenue recognized and performance obligations satisfied or partially satisfied in advance of customer billing were $585,000 and $671,000 as of March 31, 2026 and December 31, 2025, respectively, and were included within prepaid expenses and other current assets on the condensed consolidated balance sheet. Contract assets were $671,000 and zero at the beginning of the three months ended March 31, 2026 and the twelve months ending December 31, 2025, respectively.</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4. Marketable Securities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summarizes the fair value of marketable securities held by the Company and their location in the Company’s condensed consolidated balance sheet (in thousands):</w:t>
      </w:r>
    </w:p>
    <w:p>
      <w:pPr>
        <w:pStyle w:val="TextBody"/>
        <w:bidi w:val="0"/>
        <w:spacing w:before="120" w:after="283"/>
        <w:jc w:val="left"/>
        <w:rPr/>
      </w:pPr>
      <w:r>
        <w:rPr/>
        <w:t> </w:t>
      </w:r>
    </w:p>
    <w:tbl>
      <w:tblPr>
        <w:tblW w:w="7345" w:type="dxa"/>
        <w:jc w:val="left"/>
        <w:tblInd w:w="0" w:type="dxa"/>
        <w:tblLayout w:type="fixed"/>
        <w:tblCellMar>
          <w:top w:w="28" w:type="dxa"/>
          <w:left w:w="28" w:type="dxa"/>
          <w:bottom w:w="28" w:type="dxa"/>
          <w:right w:w="28" w:type="dxa"/>
        </w:tblCellMar>
      </w:tblPr>
      <w:tblGrid>
        <w:gridCol w:w="3756"/>
        <w:gridCol w:w="146"/>
        <w:gridCol w:w="299"/>
        <w:gridCol w:w="961"/>
        <w:gridCol w:w="146"/>
        <w:gridCol w:w="146"/>
        <w:gridCol w:w="357"/>
        <w:gridCol w:w="1143"/>
        <w:gridCol w:w="391"/>
      </w:tblGrid>
      <w:tr>
        <w:trPr/>
        <w:tc>
          <w:tcPr>
            <w:tcW w:w="3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7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Included within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10,282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Included within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14,973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equity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Included within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pPr>
      <w:r>
        <w:rPr/>
        <w:t> </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Marketable Debt Securities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tables summarize the available-for-sale debt securities classified within cash and cash equivalents and within marketable securities in the Company’s condensed consolidated balance sheet (in thousands): </w:t>
      </w:r>
    </w:p>
    <w:p>
      <w:pPr>
        <w:pStyle w:val="TextBody"/>
        <w:bidi w:val="0"/>
        <w:jc w:val="both"/>
        <w:rPr/>
      </w:pPr>
      <w:r>
        <w:rPr/>
        <w:t> </w:t>
      </w:r>
    </w:p>
    <w:tbl>
      <w:tblPr>
        <w:tblW w:w="8306" w:type="dxa"/>
        <w:jc w:val="left"/>
        <w:tblInd w:w="0" w:type="dxa"/>
        <w:tblLayout w:type="fixed"/>
        <w:tblCellMar>
          <w:top w:w="28" w:type="dxa"/>
          <w:left w:w="28" w:type="dxa"/>
          <w:bottom w:w="28" w:type="dxa"/>
          <w:right w:w="28" w:type="dxa"/>
        </w:tblCellMar>
      </w:tblPr>
      <w:tblGrid>
        <w:gridCol w:w="2111"/>
        <w:gridCol w:w="146"/>
        <w:gridCol w:w="296"/>
        <w:gridCol w:w="949"/>
        <w:gridCol w:w="146"/>
        <w:gridCol w:w="146"/>
        <w:gridCol w:w="510"/>
        <w:gridCol w:w="840"/>
        <w:gridCol w:w="146"/>
        <w:gridCol w:w="146"/>
        <w:gridCol w:w="603"/>
        <w:gridCol w:w="777"/>
        <w:gridCol w:w="166"/>
        <w:gridCol w:w="146"/>
        <w:gridCol w:w="211"/>
        <w:gridCol w:w="676"/>
        <w:gridCol w:w="291"/>
      </w:tblGrid>
      <w:tr>
        <w:trPr/>
        <w:tc>
          <w:tcPr>
            <w:tcW w:w="2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5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21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20,434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20,432</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1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20,434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20,432</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8286" w:type="dxa"/>
        <w:jc w:val="left"/>
        <w:tblInd w:w="0" w:type="dxa"/>
        <w:tblLayout w:type="fixed"/>
        <w:tblCellMar>
          <w:top w:w="28" w:type="dxa"/>
          <w:left w:w="28" w:type="dxa"/>
          <w:bottom w:w="28" w:type="dxa"/>
          <w:right w:w="28" w:type="dxa"/>
        </w:tblCellMar>
      </w:tblPr>
      <w:tblGrid>
        <w:gridCol w:w="2111"/>
        <w:gridCol w:w="146"/>
        <w:gridCol w:w="296"/>
        <w:gridCol w:w="949"/>
        <w:gridCol w:w="146"/>
        <w:gridCol w:w="146"/>
        <w:gridCol w:w="675"/>
        <w:gridCol w:w="675"/>
        <w:gridCol w:w="146"/>
        <w:gridCol w:w="146"/>
        <w:gridCol w:w="522"/>
        <w:gridCol w:w="858"/>
        <w:gridCol w:w="146"/>
        <w:gridCol w:w="146"/>
        <w:gridCol w:w="211"/>
        <w:gridCol w:w="676"/>
        <w:gridCol w:w="291"/>
      </w:tblGrid>
      <w:tr>
        <w:trPr/>
        <w:tc>
          <w:tcPr>
            <w:tcW w:w="2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3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21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25,248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25,255</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1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25,248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25,255</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The Company has not recognized an allowance for credit losses on any securities in an unrealized loss position as of March 31, 2026 or December 31, 2025. The Company believes that any individual unrealized losses represent temporary declines resulting from changes in interest rates, and do not reflect a deterioration of the credit quality of the issuer. The Company does not intend to sell these securities before their maturity, and does not anticipate that these securities will be required to be sold before recovery. The cost basis of the available-for-sale debt securities upon sale or maturity is determined using the specific identification method.</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LINEAGE CELL THERAPEUTICS,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THE CONDENSED CONSOLIDATED INTERIM FINANCIAL STATEMENTS (CONTINUED)</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p>
      <w:pPr>
        <w:pStyle w:val="TextBody"/>
        <w:bidi w:val="0"/>
        <w:jc w:val="center"/>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At March 31, 2026, the amortized cost and estimated fair value of the Company’s available-for-sale debt securities by contractual maturity are shown below (in thousands):</w:t>
      </w:r>
    </w:p>
    <w:p>
      <w:pPr>
        <w:pStyle w:val="TextBody"/>
        <w:bidi w:val="0"/>
        <w:jc w:val="both"/>
        <w:rPr/>
      </w:pPr>
      <w:r>
        <w:rPr/>
        <w:t> </w:t>
      </w:r>
    </w:p>
    <w:tbl>
      <w:tblPr>
        <w:tblW w:w="7255" w:type="dxa"/>
        <w:jc w:val="left"/>
        <w:tblInd w:w="0" w:type="dxa"/>
        <w:tblLayout w:type="fixed"/>
        <w:tblCellMar>
          <w:top w:w="28" w:type="dxa"/>
          <w:left w:w="28" w:type="dxa"/>
          <w:bottom w:w="28" w:type="dxa"/>
          <w:right w:w="28" w:type="dxa"/>
        </w:tblCellMar>
      </w:tblPr>
      <w:tblGrid>
        <w:gridCol w:w="3631"/>
        <w:gridCol w:w="146"/>
        <w:gridCol w:w="296"/>
        <w:gridCol w:w="949"/>
        <w:gridCol w:w="146"/>
        <w:gridCol w:w="146"/>
        <w:gridCol w:w="392"/>
        <w:gridCol w:w="1258"/>
        <w:gridCol w:w="291"/>
      </w:tblGrid>
      <w:tr>
        <w:trPr/>
        <w:tc>
          <w:tcPr>
            <w:tcW w:w="3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Available-for-sale debt securities maturing: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 Fair Value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 one year or less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20,434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20,432</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available-for-sale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20,434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20,432</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Marketable Equity Securities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Marketable equity securities with readily determinable fair values are reported at fair value with unrealized gains and losses related to mark-to-market adjustments included in income. Lineage’s marketable equity securities are classified as trading securities and for the periods reported have consisted of shares of common stock of Hadasit Bio-Holdings Ltd. (“HBL”). The value of marketable equity securities is based on the closing price of HBL common stock on the last trading day of the applicable quarter.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represents the realized and unrealized gain (loss) on marketable equity securities for the periods presented (in thousands):</w:t>
      </w:r>
    </w:p>
    <w:p>
      <w:pPr>
        <w:pStyle w:val="TextBody"/>
        <w:bidi w:val="0"/>
        <w:jc w:val="both"/>
        <w:rPr/>
      </w:pPr>
      <w:r>
        <w:rPr/>
        <w:t> </w:t>
      </w:r>
    </w:p>
    <w:tbl>
      <w:tblPr>
        <w:tblW w:w="8142" w:type="dxa"/>
        <w:jc w:val="left"/>
        <w:tblInd w:w="0" w:type="dxa"/>
        <w:tblLayout w:type="fixed"/>
        <w:tblCellMar>
          <w:top w:w="28" w:type="dxa"/>
          <w:left w:w="28" w:type="dxa"/>
          <w:bottom w:w="28" w:type="dxa"/>
          <w:right w:w="28" w:type="dxa"/>
        </w:tblCellMar>
      </w:tblPr>
      <w:tblGrid>
        <w:gridCol w:w="5821"/>
        <w:gridCol w:w="146"/>
        <w:gridCol w:w="295"/>
        <w:gridCol w:w="483"/>
        <w:gridCol w:w="204"/>
        <w:gridCol w:w="204"/>
        <w:gridCol w:w="295"/>
        <w:gridCol w:w="483"/>
        <w:gridCol w:w="211"/>
      </w:tblGrid>
      <w:tr>
        <w:trPr/>
        <w:tc>
          <w:tcPr>
            <w:tcW w:w="58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Three Months Ended March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(loss) on marketable equity securities,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Loss recognized in earnings on marketable equity securities sold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Unrealized gain (loss) recognized on marketable equity </w:t>
              <w:br/>
              <w:t>   securities held at end of period,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5. Property and Equipment, Net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At March 31, 2026 and December 31, 2025, property and equipment, net was comprised of the following (in thousands):</w:t>
      </w:r>
    </w:p>
    <w:p>
      <w:pPr>
        <w:pStyle w:val="TextBody"/>
        <w:bidi w:val="0"/>
        <w:jc w:val="left"/>
        <w:rPr/>
      </w:pPr>
      <w:r>
        <w:rPr/>
        <w:t> </w:t>
      </w:r>
    </w:p>
    <w:tbl>
      <w:tblPr>
        <w:tblW w:w="7220" w:type="dxa"/>
        <w:jc w:val="left"/>
        <w:tblInd w:w="0" w:type="dxa"/>
        <w:tblLayout w:type="fixed"/>
        <w:tblCellMar>
          <w:top w:w="28" w:type="dxa"/>
          <w:left w:w="28" w:type="dxa"/>
          <w:bottom w:w="28" w:type="dxa"/>
          <w:right w:w="28" w:type="dxa"/>
        </w:tblCellMar>
      </w:tblPr>
      <w:tblGrid>
        <w:gridCol w:w="3691"/>
        <w:gridCol w:w="146"/>
        <w:gridCol w:w="315"/>
        <w:gridCol w:w="945"/>
        <w:gridCol w:w="166"/>
        <w:gridCol w:w="146"/>
        <w:gridCol w:w="376"/>
        <w:gridCol w:w="1124"/>
        <w:gridCol w:w="311"/>
      </w:tblGrid>
      <w:tr>
        <w:trPr/>
        <w:tc>
          <w:tcPr>
            <w:tcW w:w="3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Equipment, furniture and fixtures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5,280</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2,749</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assets - finance lease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(5,684</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2,566</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Depreciation and amortization expense was $188,000 and $164,000 for the three months ended March 31, 2026 and 2025, respectively. These amounts include amortization expense for right-of-use finance lease assets of $13,000 and $14,000 for the three months ended March 31, 2026 and 2025, respectively.</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LINEAGE CELL THERAPEUTICS,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THE CONDENSED CONSOLIDATED INTERIM FINANCIAL STATEMENTS (CONTINUED)</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p>
      <w:pPr>
        <w:pStyle w:val="TextBody"/>
        <w:bidi w:val="0"/>
        <w:jc w:val="center"/>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6. Goodwill and Intangible Assets, Net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At March 31, 2026 and December 31, 2025, goodwill and intangible assets, net consisted of the following (in thousands):</w:t>
      </w:r>
    </w:p>
    <w:p>
      <w:pPr>
        <w:pStyle w:val="TextBody"/>
        <w:bidi w:val="0"/>
        <w:jc w:val="both"/>
        <w:rPr/>
      </w:pPr>
      <w:r>
        <w:rPr/>
        <w:t> </w:t>
      </w:r>
    </w:p>
    <w:tbl>
      <w:tblPr>
        <w:tblW w:w="7945" w:type="dxa"/>
        <w:jc w:val="left"/>
        <w:tblInd w:w="0" w:type="dxa"/>
        <w:tblLayout w:type="fixed"/>
        <w:tblCellMar>
          <w:top w:w="28" w:type="dxa"/>
          <w:left w:w="28" w:type="dxa"/>
          <w:bottom w:w="28" w:type="dxa"/>
          <w:right w:w="28" w:type="dxa"/>
        </w:tblCellMar>
      </w:tblPr>
      <w:tblGrid>
        <w:gridCol w:w="4436"/>
        <w:gridCol w:w="146"/>
        <w:gridCol w:w="280"/>
        <w:gridCol w:w="980"/>
        <w:gridCol w:w="166"/>
        <w:gridCol w:w="146"/>
        <w:gridCol w:w="334"/>
        <w:gridCol w:w="1166"/>
        <w:gridCol w:w="291"/>
      </w:tblGrid>
      <w:tr>
        <w:trPr/>
        <w:tc>
          <w:tcPr>
            <w:tcW w:w="4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Goodwill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10,672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10,672</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4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Acquired IPR&amp;D – OPC1 (from the Asterias Merger)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31,700</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4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980"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31,700</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31,700</w:t>
            </w:r>
          </w:p>
        </w:tc>
        <w:tc>
          <w:tcPr>
            <w:tcW w:w="2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4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subject to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4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Acquired patents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18,953</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4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Acquired royalty contracts </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4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Accumulated amortization </w:t>
            </w:r>
            <w:r>
              <w:rPr>
                <w:rFonts w:ascii="Times New Roman" w:hAnsi="Times New Roman"/>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(19,603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31,700</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xml:space="preserve">Goodwill represents the excess of the purchase price over the fair value of the net tangible and identifiable intangible assets acquired and liabilities assumed in connection with our acquisition of Asterias Biotherapeutics, Inc. (“Asterias”) in March 2019 (the “Asterias Merger”). The Company has not recognized any goodwill impairment in the periods presented. </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60" w:after="283"/>
        <w:jc w:val="both"/>
        <w:rPr>
          <w:rFonts w:ascii="Times New Roman" w:hAnsi="Times New Roman"/>
          <w:sz w:val="20"/>
        </w:rPr>
      </w:pPr>
      <w:r>
        <w:rPr>
          <w:rFonts w:ascii="Times New Roman" w:hAnsi="Times New Roman"/>
          <w:color w:val="000000"/>
          <w:sz w:val="20"/>
        </w:rPr>
        <w:t xml:space="preserve">Asterias had royalty cash flows under patent families it acquired from Geron Corporation. Such patent families are expected to continue to generate revenue, are not used in the other acquired IPR&amp;D intangible assets, and are considered to be separate intangible assets under ASC Topic 805, </w:t>
      </w:r>
      <w:r>
        <w:rPr>
          <w:rFonts w:ascii="Times New Roman" w:hAnsi="Times New Roman"/>
          <w:i/>
          <w:color w:val="000000"/>
          <w:sz w:val="20"/>
        </w:rPr>
        <w:t>Business Combinations</w:t>
      </w:r>
      <w:r>
        <w:rPr>
          <w:rFonts w:ascii="Times New Roman" w:hAnsi="Times New Roman"/>
          <w:color w:val="000000"/>
          <w:sz w:val="2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 xml:space="preserve">The acquired patents and acquired royalty contracts were fully amortized as of March 31, 2024.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7. Accounts Payable and Accrued Liabilities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At March 31, 2026 and December 31, 2025, accounts payable and accrued liabilities consist of the following (in thousands):</w:t>
      </w:r>
    </w:p>
    <w:p>
      <w:pPr>
        <w:pStyle w:val="TextBody"/>
        <w:bidi w:val="0"/>
        <w:jc w:val="both"/>
        <w:rPr/>
      </w:pPr>
      <w:r>
        <w:rPr/>
        <w:t> </w:t>
      </w:r>
    </w:p>
    <w:tbl>
      <w:tblPr>
        <w:tblW w:w="5470" w:type="dxa"/>
        <w:jc w:val="left"/>
        <w:tblInd w:w="0" w:type="dxa"/>
        <w:tblLayout w:type="fixed"/>
        <w:tblCellMar>
          <w:top w:w="28" w:type="dxa"/>
          <w:left w:w="28" w:type="dxa"/>
          <w:bottom w:w="28" w:type="dxa"/>
          <w:right w:w="28" w:type="dxa"/>
        </w:tblCellMar>
      </w:tblPr>
      <w:tblGrid>
        <w:gridCol w:w="1981"/>
        <w:gridCol w:w="146"/>
        <w:gridCol w:w="340"/>
        <w:gridCol w:w="920"/>
        <w:gridCol w:w="146"/>
        <w:gridCol w:w="146"/>
        <w:gridCol w:w="403"/>
        <w:gridCol w:w="1097"/>
        <w:gridCol w:w="291"/>
      </w:tblGrid>
      <w:tr>
        <w:trPr/>
        <w:tc>
          <w:tcPr>
            <w:tcW w:w="19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2,341</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3,744</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1,096</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5,567</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7,181</w:t>
            </w:r>
          </w:p>
        </w:tc>
        <w:tc>
          <w:tcPr>
            <w:tcW w:w="2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40" w:after="283"/>
        <w:jc w:val="both"/>
        <w:rPr/>
      </w:pPr>
      <w:r>
        <w:rPr/>
        <w:t> </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8. Fair Value Measurements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Fair value is defined as the price that would be received to sell an asset or paid to transfer a liability in an orderly transaction between market participants at the measurement date. To increase the comparability of fair value measures, the following hierarchy prioritizes the inputs to valuation methodologies used to measure fair value in accordance with (ASC 820-10-50), </w:t>
      </w:r>
      <w:r>
        <w:rPr>
          <w:rFonts w:ascii="Times New Roman" w:hAnsi="Times New Roman"/>
          <w:i/>
          <w:color w:val="000000"/>
          <w:sz w:val="20"/>
        </w:rPr>
        <w:t>Fair Value Measurements and Disclosures</w:t>
      </w:r>
      <w:r>
        <w:rPr>
          <w:rFonts w:ascii="Times New Roman" w:hAnsi="Times New Roman"/>
          <w:color w:val="000000"/>
          <w:sz w:val="20"/>
        </w:rPr>
        <w: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Level 1 – Inputs to the valuation methodology are quoted prices for identical assets or liabilities in active markets.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Level 2 –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Level 3 – Inputs to the valuation methodology that are unobservable. Unobservable inputs are those in which little or no market data exists and are therefore determined using estimates and assumptions developed by the Company, which reflect those that a market participant would use.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not transferred any instruments between the three levels of the fair value hierarchy.</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LINEAGE CELL THERAPEUTICS,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THE CONDENSED CONSOLIDATED INTERIM FINANCIAL STATEMENTS (CONTINUED)</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p>
      <w:pPr>
        <w:pStyle w:val="TextBody"/>
        <w:bidi w:val="0"/>
        <w:jc w:val="center"/>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carrying value of cash, restricted cash, accounts receivable, accounts payable, and accrued liabilities approximate their respective fair values due to their relative short maturities. We measure our cash equivalents, marketable securities and our liability classified warrants at fair value on a recurring basis. The fair values of such assets and liabilities were as follows as of March 31, 2026 and December 31, 2025 (in thousands):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080"/>
        <w:gridCol w:w="146"/>
        <w:gridCol w:w="250"/>
        <w:gridCol w:w="805"/>
        <w:gridCol w:w="146"/>
        <w:gridCol w:w="146"/>
        <w:gridCol w:w="540"/>
        <w:gridCol w:w="1729"/>
        <w:gridCol w:w="146"/>
        <w:gridCol w:w="146"/>
        <w:gridCol w:w="668"/>
        <w:gridCol w:w="1100"/>
        <w:gridCol w:w="146"/>
        <w:gridCol w:w="146"/>
        <w:gridCol w:w="406"/>
        <w:gridCol w:w="1309"/>
        <w:gridCol w:w="296"/>
      </w:tblGrid>
      <w:tr>
        <w:trPr/>
        <w:tc>
          <w:tcPr>
            <w:tcW w:w="20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7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r>
      <w:tr>
        <w:trPr/>
        <w:tc>
          <w:tcPr>
            <w:tcW w:w="20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6"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Using</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Balance at </w:t>
              <w:b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Quoted Prices in Active Markets for Identical Assets </w:t>
              <w:b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Significant Other Observable Inputs </w:t>
              <w:b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Significant Unobservable Inputs </w:t>
              <w:br/>
              <w:t>(Level 3)</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8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Money market fund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8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Marketable debt securities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8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Marketable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8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Marketable equity securities </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 measured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45,275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45,275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8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Warrant liabilities </w:t>
            </w:r>
            <w:r>
              <w:rPr>
                <w:rFonts w:ascii="Times New Roman" w:hAnsi="Times New Roman"/>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34,140</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measured at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34,140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34,140</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055"/>
        <w:gridCol w:w="146"/>
        <w:gridCol w:w="275"/>
        <w:gridCol w:w="882"/>
        <w:gridCol w:w="146"/>
        <w:gridCol w:w="146"/>
        <w:gridCol w:w="531"/>
        <w:gridCol w:w="1701"/>
        <w:gridCol w:w="146"/>
        <w:gridCol w:w="146"/>
        <w:gridCol w:w="660"/>
        <w:gridCol w:w="1086"/>
        <w:gridCol w:w="146"/>
        <w:gridCol w:w="146"/>
        <w:gridCol w:w="402"/>
        <w:gridCol w:w="1296"/>
        <w:gridCol w:w="295"/>
      </w:tblGrid>
      <w:tr>
        <w:trPr/>
        <w:tc>
          <w:tcPr>
            <w:tcW w:w="20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r>
      <w:tr>
        <w:trPr/>
        <w:tc>
          <w:tcPr>
            <w:tcW w:w="20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6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Using</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Balance at </w:t>
              <w:br/>
              <w:t>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Quoted Prices in Active Markets for Identical Assets </w:t>
              <w:b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Significant Other Observable Inputs </w:t>
              <w:b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Significant Unobservable Inputs </w:t>
              <w:br/>
              <w:t>(Level 3)</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5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Money market fund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5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Marketable debt securities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5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Marketable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5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Marketable equity securities </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 measured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45,965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45,965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5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Warrant liabilities </w:t>
            </w:r>
            <w:r>
              <w:rPr>
                <w:rFonts w:ascii="Times New Roman" w:hAnsi="Times New Roman"/>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43,906</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measured at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43,906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43,906</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both"/>
        <w:rPr/>
      </w:pPr>
      <w:r>
        <w:rPr/>
        <w:t> </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 xml:space="preserve">Included in cash and cash equivalents in the accompanying condensed consolidated balance sheet. Marketable debt securities purchased with an original maturity of three months or less have been classified as cash equivalents. </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 xml:space="preserve">Lineage’s marketable equity securities include the shares of stock of HBL which has a readily determinable fair value quoted on the TASE (Level 1). These securities are measured at fair value and reported as current assets on the accompanying condensed consolidated balance sheet based on the closing trading price of the security as of the date being presented. </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 xml:space="preserve">Liability-classified warrants are valued at issuance, upon warrant exercise, and at each reporting period end date while the warrants are outstanding using a Black-Scholes option pricing model that maximizes the use of observable inputs and minimizes the use of unobservable inputs to the extent possible. Changes in the fair value of liability-classified warrants are recorded in the condensed consolidated statements of operations, and reflected as an adjustment to reconcile net loss to net cash used in operating activities in the condensed consolidated statements of cash flows. A significant increase or decrease in these Level 3 inputs could result in a significantly higher or lower fair value measurement. See Note 10 (Shareholders’ Equity) for additional information on the warrants. </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LINEAGE CELL THERAPEUTICS,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THE CONDENSED CONSOLIDATED INTERIM FINANCIAL STATEMENTS (CONTINUED)</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p>
      <w:pPr>
        <w:pStyle w:val="TextBody"/>
        <w:bidi w:val="0"/>
        <w:jc w:val="center"/>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sets forth a summary of changes to Level 3 fair value measurements (in thousands):</w:t>
      </w:r>
    </w:p>
    <w:p>
      <w:pPr>
        <w:pStyle w:val="TextBody"/>
        <w:bidi w:val="0"/>
        <w:jc w:val="both"/>
        <w:rPr/>
      </w:pPr>
      <w:r>
        <w:rPr/>
        <w:t> </w:t>
      </w:r>
    </w:p>
    <w:tbl>
      <w:tblPr>
        <w:tblW w:w="9000" w:type="dxa"/>
        <w:jc w:val="left"/>
        <w:tblInd w:w="0" w:type="dxa"/>
        <w:tblLayout w:type="fixed"/>
        <w:tblCellMar>
          <w:top w:w="28" w:type="dxa"/>
          <w:left w:w="28" w:type="dxa"/>
          <w:bottom w:w="28" w:type="dxa"/>
          <w:right w:w="28" w:type="dxa"/>
        </w:tblCellMar>
      </w:tblPr>
      <w:tblGrid>
        <w:gridCol w:w="4931"/>
        <w:gridCol w:w="146"/>
        <w:gridCol w:w="392"/>
        <w:gridCol w:w="1258"/>
        <w:gridCol w:w="166"/>
        <w:gridCol w:w="146"/>
        <w:gridCol w:w="413"/>
        <w:gridCol w:w="1237"/>
        <w:gridCol w:w="311"/>
      </w:tblGrid>
      <w:tr>
        <w:trPr/>
        <w:tc>
          <w:tcPr>
            <w:tcW w:w="4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Common Share Warrant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Three Months Ended </w:t>
              <w:br/>
              <w:t>March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Three Months Ended </w:t>
              <w:br/>
              <w:t>March 31, 2025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 beginning of the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6,161</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9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Issued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2,205</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9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 xml:space="preserve">Change in fair value of warrant liability recognized in the </w:t>
              <w:br/>
              <w:t>   consolidated statement of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(2,305</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9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Derivative warrant liability reclassified to equity</w:t>
              <w:br/>
              <w:t>   upon exercise of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 end of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34,140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6,061</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sz w:val="20"/>
        </w:rPr>
      </w:pPr>
      <w:r>
        <w:rPr>
          <w:rFonts w:ascii="Times New Roman" w:hAnsi="Times New Roman"/>
          <w:b/>
          <w:color w:val="000000"/>
          <w:sz w:val="20"/>
        </w:rPr>
        <w:t xml:space="preserve">Level 3 inputs - </w:t>
      </w:r>
      <w:r>
        <w:rPr>
          <w:rFonts w:ascii="Times New Roman" w:hAnsi="Times New Roman"/>
          <w:color w:val="000000"/>
          <w:sz w:val="20"/>
        </w:rPr>
        <w:t>Significant assumptions used in valuing the warrant liabilities were as follows:</w:t>
      </w:r>
    </w:p>
    <w:p>
      <w:pPr>
        <w:pStyle w:val="TextBody"/>
        <w:bidi w:val="0"/>
        <w:jc w:val="both"/>
        <w:rPr/>
      </w:pPr>
      <w:r>
        <w:rPr/>
        <w:t> </w:t>
      </w:r>
    </w:p>
    <w:tbl>
      <w:tblPr>
        <w:tblW w:w="6555" w:type="dxa"/>
        <w:jc w:val="left"/>
        <w:tblInd w:w="0" w:type="dxa"/>
        <w:tblLayout w:type="fixed"/>
        <w:tblCellMar>
          <w:top w:w="28" w:type="dxa"/>
          <w:left w:w="28" w:type="dxa"/>
          <w:bottom w:w="28" w:type="dxa"/>
          <w:right w:w="28" w:type="dxa"/>
        </w:tblCellMar>
      </w:tblPr>
      <w:tblGrid>
        <w:gridCol w:w="2626"/>
        <w:gridCol w:w="146"/>
        <w:gridCol w:w="488"/>
        <w:gridCol w:w="1162"/>
        <w:gridCol w:w="146"/>
        <w:gridCol w:w="146"/>
        <w:gridCol w:w="488"/>
        <w:gridCol w:w="1162"/>
        <w:gridCol w:w="191"/>
      </w:tblGrid>
      <w:tr>
        <w:trPr/>
        <w:tc>
          <w:tcPr>
            <w:tcW w:w="2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Three Months Ended </w:t>
              <w:b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Three Months Ended </w:t>
              <w:br/>
              <w:t>March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stock price 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80.36% - 80.37%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71.78% - 72.54%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 - 3.79%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 - 4.25%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2.14 - 2.22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3.14 - 3.32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both"/>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expected stock price volatility assumption is determined using historical volatility of the Company’s common stock. The risk-free interest rate assumption is based on the U.S. Treasury yield curve whose term is consistent with the expected term of the stock options. The expected dividend yield is 0% as the Company has not paid and does not anticipate paying dividends on its common stock. The expected term represents the period from the date of warrant issuance to May 21, 2028. At each reporting period end date, the expected term is reduced to reflect the remaining term of the warrants. Because the term of the warrants could expire earlier than May 21, 2028 upon the occurrence of a future event and subject to specified conditions being satisfied, the expected term could be shortened in subsequent periods. See Note 10 (Shareholders’ Equity) for additional information regarding the warrants.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9. Related Party Transactions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January 2025, we sold 7,894,737 common shares and an accompanying warrant to purchase up to 7,894,737 common shares to Broadwood Partners, L.P. (“Broadwood Partners”), an affiliate of Neal Bradsher, a member of our board of directors. See Note 10 (Shareholders’ Equity) for additional information regarding such offering.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10. Shareholders’ Equity</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Preferred Shares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Lineage is authorized to issue 2,000,000 preferred shares. The preferred shares may be issued in one or more series as the Lineage board of directors may determine by resolution. The Lineage board of directors is authorized to fix the number of shares of any series of preferred shares and to determine or alter the rights, preferences, privileges, and restrictions granted to or imposed on the preferred shares as a class, or upon any wholly unissued series of any preferred shares. The Lineage board of directors may, by resolution, increase or decrease (but not below the number of shares of such series then outstanding) the number of shares of any series of preferred shares subsequent to the issue of shares of that series. There were no preferred shares issued or outstanding as of either March 31, 2026 or December 31, 2025.</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Common Shares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Lineage is authorized to issue 450,000,000 common shares. As of March 31, 2026 and December 31, 2025, there were 249,298,295 and 243,121,801 common shares issued and outstanding, respectively.</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LINEAGE CELL THERAPEUTICS,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THE CONDENSED CONSOLIDATED INTERIM FINANCIAL STATEMENTS (CONTINUED)</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p>
      <w:pPr>
        <w:pStyle w:val="TextBody"/>
        <w:bidi w:val="0"/>
        <w:jc w:val="center"/>
        <w:rPr/>
      </w:pPr>
      <w:r>
        <w:rPr/>
        <w:t>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At-The-Market Offering Program</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March 2024, Lineage entered into a sales agreement (the “ATM Sales Agreement”) with B. Riley Securities, Inc., as sales agent (“Sales Agent”), under which Lineage may offer and sell its common shares from time to time through an ATM program.</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During the three months ended March 31, 2026, and 2025 no common shares were sold under the ATM program.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Lineage agreed to pay Sales Agent a commission of up to 3.0% of the aggregate gross proceeds from the sale of shares under the ATM Sales Agreement, reimburse its legal fees and disbursements, and provide Sales Agent with customary indemnification and contribution rights. The Sales Agreement may be terminated by Sales Agent or Lineage at any time upon notice to the other party, or by Sales Agent at any time in certain circumstances, including the occurrence of a material and adverse change in Lineage’s business or financial condition that makes it impractical or inadvisable to market the shares or to enforce contracts for the sale of the shares.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Additionally, as part of the 12.0 million shares issued under the ATM program in November 2025 for gross proceeds of $21.0 million, Lineage paid another financial advisor a 6% placement agent fee.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shares sold under the ATM Program are offered and sold under our shelf registration statement on Form S-3 (File No. 333-277758), which was filed with the SEC on March 7, 2024 and declared effective on May 14, 2024, and the prospectus, as updated, amended and supplemented from time to time, that forms a part thereof. The most recent prospectus supplement was filed on March 11, 2026, pursuant to which we may offer and sell from time to time under the ATM Sales Agreement an aggregate of up to $60.0 million, excluding the $22.6 million in aggregate gross sales price of our common shares we sold pursuant to prior prospectus supplements and the prospectus dated May 14, 2024.</w:t>
      </w:r>
    </w:p>
    <w:p>
      <w:pPr>
        <w:pStyle w:val="TextBody"/>
        <w:bidi w:val="0"/>
        <w:spacing w:before="360" w:after="283"/>
        <w:jc w:val="both"/>
        <w:rPr>
          <w:rFonts w:ascii="Times New Roman" w:hAnsi="Times New Roman"/>
          <w:sz w:val="20"/>
        </w:rPr>
      </w:pPr>
      <w:r>
        <w:rPr>
          <w:rFonts w:ascii="Times New Roman" w:hAnsi="Times New Roman"/>
          <w:i/>
          <w:color w:val="000000"/>
          <w:sz w:val="20"/>
        </w:rPr>
        <w:t>November 2024 Registered Direct Offering - January 2025 Closing</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November 2024, we entered into securities purchase agreements with unaffiliated healthcare focused institutional investors and with Broadwood Partners relating to the purchase and sale in a registered direct offering of an aggregate of up to 39,473,688 of our common shares and accompanying warrants to purchase an aggregate of up to 39,473,688 of our common shares at a combined purchase price of $0.76 per common share and accompanying warrant (the “November 2024 RDO”). In connection with the first closing of this offering, which occurred in November 2024, we issued to the unaffiliated healthcare focused institutional investors an aggregate of 31,578,951 common shares and accompanying warrants to purchase an aggregate of up to 31,578,951 of our common shares.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offering of the securities to Broadwood Partners was subject to obtaining shareholder approval to satisfy applicable NYSE American rules, which was obtained at our special meeting of shareholders on January 27, 2025. Following such meeting, we issued to Broadwood Partners 7,894,737 common shares and an accompanying warrant to purchase up to 7,894,737 common shares, and we received aggregate gross proceeds of $6.0 million, with approximately $0.6 million for related issuance costs. The warrant issued to Broadwood Partners had a fair value of approximately $2.1 million at issuance and is classified as a warrant liability in the Company’s condensed consolidated financial statements.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warrants issued in the November 2024 RDO have an exercise price of $0.91 per common share, have been exercisable since May 21, 2025, and will expire on the earlier of (a) May 21, 2028, and (b) the 90th day following the date of the public disclosure of the intent to advance OpRegen (also known as RG6501) into a multi-center phase 2 or 3 clinical trial which includes a control or comparator arm, subject to extension if certain conditions, including equity conditions, some of which are outside of our control, are not satisfied. The warrants provide for cashless exercise in certain circumstances, including if the shares issuable upon exercise thereof are not covered by an effective registration statement.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entered into an engagement letter with H.C. Wainwright &amp; Co., LLC (“Wainwright”), pursuant to which Wainwright agreed to serve as our exclusive placement agent, on a reasonable best efforts basis, in connection with the November 2024 RDO. We paid Wainwright a cash fee equal to 7.0% and a management fee equal to 1.0%, in each case, of the aggregate gross proceeds we received at each closing. In addition, at each closing, we issued to Wainwright (or its designees) warrants to purchase our common shares with terms that are substantially similar to those described above except that the warrants issued to Wainwright (or its designees) have an exercise price of $0.95 per share. In the aggregate we issued to Wainwright (or its designees) warrants to purchase up to 1,973,684 of our common shares. The warrants issued to Wainwright (or its designees) in connection with the January 2025 Closing had a fair value of approximately $0.1 million at issuance and are classified as warrant liabilities in the Company’s condensed consolidated financial statements. See Note 8 (Fair Value Measurements) for additional information regarding the warrants issued in connection with the November 2024 RDO.</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LINEAGE CELL THERAPEUTICS,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THE CONDENSED CONSOLIDATED INTERIM FINANCIAL STATEMENTS (CONTINUED)</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p>
      <w:pPr>
        <w:pStyle w:val="TextBody"/>
        <w:bidi w:val="0"/>
        <w:jc w:val="center"/>
        <w:rPr/>
      </w:pPr>
      <w:r>
        <w:rPr/>
        <w:t> </w:t>
      </w:r>
    </w:p>
    <w:p>
      <w:pPr>
        <w:pStyle w:val="TextBody"/>
        <w:bidi w:val="0"/>
        <w:spacing w:before="360" w:after="283"/>
        <w:jc w:val="both"/>
        <w:rPr>
          <w:rFonts w:ascii="Times New Roman" w:hAnsi="Times New Roman"/>
          <w:sz w:val="20"/>
        </w:rPr>
      </w:pPr>
      <w:r>
        <w:rPr>
          <w:rFonts w:ascii="Times New Roman" w:hAnsi="Times New Roman"/>
          <w:i/>
          <w:color w:val="000000"/>
          <w:sz w:val="20"/>
        </w:rPr>
        <w:t>Summary of Common Stock Warrant Activity and Outstanding</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following roll-forward presents the Company’s common stock warrants outstanding as of March 31, 2026 (in thousands, except per share amounts): </w:t>
      </w:r>
    </w:p>
    <w:p>
      <w:pPr>
        <w:pStyle w:val="TextBody"/>
        <w:bidi w:val="0"/>
        <w:jc w:val="both"/>
        <w:rPr/>
      </w:pPr>
      <w:r>
        <w:rPr/>
        <w:t> </w:t>
      </w:r>
    </w:p>
    <w:tbl>
      <w:tblPr>
        <w:tblW w:w="5595" w:type="dxa"/>
        <w:jc w:val="left"/>
        <w:tblInd w:w="0" w:type="dxa"/>
        <w:tblLayout w:type="fixed"/>
        <w:tblCellMar>
          <w:top w:w="28" w:type="dxa"/>
          <w:left w:w="28" w:type="dxa"/>
          <w:bottom w:w="28" w:type="dxa"/>
          <w:right w:w="28" w:type="dxa"/>
        </w:tblCellMar>
      </w:tblPr>
      <w:tblGrid>
        <w:gridCol w:w="2596"/>
        <w:gridCol w:w="146"/>
        <w:gridCol w:w="199"/>
        <w:gridCol w:w="926"/>
        <w:gridCol w:w="166"/>
        <w:gridCol w:w="146"/>
        <w:gridCol w:w="350"/>
        <w:gridCol w:w="775"/>
        <w:gridCol w:w="291"/>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Number </w:t>
              <w:br/>
              <w:t xml:space="preserve">of Warrants </w:t>
              <w:br/>
              <w:t xml:space="preserve">Outstanding </w:t>
              <w:br/>
              <w:t>(in thousands)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Weighted </w:t>
              <w:br/>
              <w:t xml:space="preserve">Average </w:t>
              <w:br/>
              <w:t>Exercise Price</w:t>
              <w:br/>
              <w:t>(per share)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0.91</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Warrants exercised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92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35,176</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0.91</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See Note 8 (Fair Value Measurements) for additional information on the warrants. </w:t>
      </w:r>
    </w:p>
    <w:p>
      <w:pPr>
        <w:pStyle w:val="TextBody"/>
        <w:bidi w:val="0"/>
        <w:spacing w:before="360" w:after="283"/>
        <w:jc w:val="both"/>
        <w:rPr>
          <w:rFonts w:ascii="Times New Roman" w:hAnsi="Times New Roman"/>
          <w:sz w:val="20"/>
        </w:rPr>
      </w:pPr>
      <w:r>
        <w:rPr>
          <w:rFonts w:ascii="Times New Roman" w:hAnsi="Times New Roman"/>
          <w:b/>
          <w:color w:val="000000"/>
          <w:sz w:val="20"/>
        </w:rPr>
        <w:t>11. Stock-Based Awards</w:t>
      </w:r>
      <w:r>
        <w:rPr>
          <w:rFonts w:ascii="Times New Roman" w:hAnsi="Times New Roman"/>
          <w:color w:val="000000"/>
          <w:sz w:val="20"/>
        </w:rPr>
        <w:t xml:space="preserve"> </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Equity Incentive Plan Awards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September 2021, our shareholders approved the Lineage Cell Therapeutics, Inc. 2021 Equity Incentive Plan, and our shareholders approved amendments to increase the number of common shares that may be issued thereunder by 19,500,000 in September 2023 and by an additional 19,500,000 in June 2025 (as amended to date, the “2021 Plan”). The 2021 Plan provides for the grant of incentive stock options, non-statutory stock options, stock appreciation rights, restricted stock awards, restricted stock units (“RSUs”), and other stock awards. Generally, all of our employees (including those of our affiliates), non-employee directors and consultants are eligible to participate in the 2021 Plan.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Subject to adjustment for certain changes in our capitalization, the aggregate number of our common shares that may be issued under the 2021 Plan will not exceed the sum of (i) 54,500,000 shares and (ii) the number of shares subject to awards granted under the Lineage Cell Therapeutics Inc. 2012 Equity Incentive Plan (the “2012 Plan”) that were outstanding when the 2021 Plan initially became effective in 2021 and are not issued because such awards expire or otherwise terminate. As a result of the approval of the 2021 Plan by our shareholders in 2021, no additional awards will be granted under the 2012 Plan. As of March 31, 2026, there were 27,468,709 shares available for grant under the 2021 Plan.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 summary of activity under the 2021 Plan is as follows (in thousands, except per share amounts):</w:t>
      </w:r>
    </w:p>
    <w:p>
      <w:pPr>
        <w:pStyle w:val="TextBody"/>
        <w:bidi w:val="0"/>
        <w:jc w:val="both"/>
        <w:rPr/>
      </w:pPr>
      <w:r>
        <w:rPr/>
        <w:t> </w:t>
      </w:r>
    </w:p>
    <w:tbl>
      <w:tblPr>
        <w:tblW w:w="9869" w:type="dxa"/>
        <w:jc w:val="left"/>
        <w:tblInd w:w="0" w:type="dxa"/>
        <w:tblLayout w:type="fixed"/>
        <w:tblCellMar>
          <w:top w:w="28" w:type="dxa"/>
          <w:left w:w="28" w:type="dxa"/>
          <w:bottom w:w="28" w:type="dxa"/>
          <w:right w:w="28" w:type="dxa"/>
        </w:tblCellMar>
      </w:tblPr>
      <w:tblGrid>
        <w:gridCol w:w="3256"/>
        <w:gridCol w:w="146"/>
        <w:gridCol w:w="199"/>
        <w:gridCol w:w="926"/>
        <w:gridCol w:w="166"/>
        <w:gridCol w:w="146"/>
        <w:gridCol w:w="350"/>
        <w:gridCol w:w="775"/>
        <w:gridCol w:w="146"/>
        <w:gridCol w:w="146"/>
        <w:gridCol w:w="250"/>
        <w:gridCol w:w="800"/>
        <w:gridCol w:w="146"/>
        <w:gridCol w:w="146"/>
        <w:gridCol w:w="471"/>
        <w:gridCol w:w="1509"/>
        <w:gridCol w:w="291"/>
      </w:tblGrid>
      <w:tr>
        <w:trPr/>
        <w:tc>
          <w:tcPr>
            <w:tcW w:w="3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Number </w:t>
              <w:br/>
              <w:t xml:space="preserve">of Options </w:t>
              <w:br/>
              <w:t>Outstanding</w:t>
              <w:br/>
              <w:t>(in thousands)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Weighted </w:t>
              <w:br/>
              <w:t xml:space="preserve">Average </w:t>
              <w:br/>
              <w:t>Exercise Price</w:t>
              <w:b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Weighted </w:t>
              <w:br/>
              <w:t xml:space="preserve">Average </w:t>
              <w:br/>
              <w:t>Remaining</w:t>
              <w:br/>
              <w:t>Contractual</w:t>
              <w:br/>
              <w:t>Term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 Intrinsic Value</w:t>
              <w:br/>
              <w:t>(in thousands)</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13,898</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Options 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Options 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Options expired/forfeited/cancelled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31,374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11,736</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exercisable at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13,246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4,568</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Options vested and expected to vest </w:t>
              <w:br/>
              <w:t>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31,374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11,736</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LINEAGE CELL THERAPEUTICS,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THE CONDENSED CONSOLIDATED INTERIM FINANCIAL STATEMENTS (CONTINUED)</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p>
      <w:pPr>
        <w:pStyle w:val="TextBody"/>
        <w:bidi w:val="0"/>
        <w:jc w:val="center"/>
        <w:rPr/>
      </w:pPr>
      <w:r>
        <w:rPr/>
        <w:t> </w:t>
      </w:r>
    </w:p>
    <w:p>
      <w:pPr>
        <w:pStyle w:val="TextBody"/>
        <w:bidi w:val="0"/>
        <w:jc w:val="both"/>
        <w:rPr/>
      </w:pPr>
      <w:r>
        <w:rPr/>
        <w:t> </w:t>
      </w:r>
    </w:p>
    <w:p>
      <w:pPr>
        <w:pStyle w:val="TextBody"/>
        <w:bidi w:val="0"/>
        <w:jc w:val="both"/>
        <w:rPr/>
      </w:pPr>
      <w:r>
        <w:rPr/>
        <w:t> </w:t>
      </w:r>
    </w:p>
    <w:tbl>
      <w:tblPr>
        <w:tblW w:w="5745" w:type="dxa"/>
        <w:jc w:val="left"/>
        <w:tblInd w:w="0" w:type="dxa"/>
        <w:tblLayout w:type="fixed"/>
        <w:tblCellMar>
          <w:top w:w="28" w:type="dxa"/>
          <w:left w:w="28" w:type="dxa"/>
          <w:bottom w:w="28" w:type="dxa"/>
          <w:right w:w="28" w:type="dxa"/>
        </w:tblCellMar>
      </w:tblPr>
      <w:tblGrid>
        <w:gridCol w:w="2596"/>
        <w:gridCol w:w="146"/>
        <w:gridCol w:w="289"/>
        <w:gridCol w:w="836"/>
        <w:gridCol w:w="166"/>
        <w:gridCol w:w="146"/>
        <w:gridCol w:w="397"/>
        <w:gridCol w:w="878"/>
        <w:gridCol w:w="291"/>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Number </w:t>
              <w:br/>
              <w:t xml:space="preserve">of RSUs </w:t>
              <w:br/>
              <w:t>Outstanding</w:t>
              <w:br/>
              <w:t>(in thousands)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 Grant</w:t>
              <w:br/>
              <w:t>Date Fair Value</w:t>
              <w:br/>
              <w:t>(per share)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RSUs 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RSUs 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 summary of activity of the 2012 Plan, and the 2018 inducement option (which was issued to a Lineage executive outside of all equity plans), is as follows (in thousands, except per share amounts):</w:t>
      </w:r>
    </w:p>
    <w:p>
      <w:pPr>
        <w:pStyle w:val="TextBody"/>
        <w:bidi w:val="0"/>
        <w:jc w:val="both"/>
        <w:rPr/>
      </w:pPr>
      <w:r>
        <w:rPr/>
        <w:t> </w:t>
      </w:r>
    </w:p>
    <w:tbl>
      <w:tblPr>
        <w:tblW w:w="6115" w:type="dxa"/>
        <w:jc w:val="left"/>
        <w:tblInd w:w="0" w:type="dxa"/>
        <w:tblLayout w:type="fixed"/>
        <w:tblCellMar>
          <w:top w:w="28" w:type="dxa"/>
          <w:left w:w="28" w:type="dxa"/>
          <w:bottom w:w="28" w:type="dxa"/>
          <w:right w:w="28" w:type="dxa"/>
        </w:tblCellMar>
      </w:tblPr>
      <w:tblGrid>
        <w:gridCol w:w="3116"/>
        <w:gridCol w:w="146"/>
        <w:gridCol w:w="228"/>
        <w:gridCol w:w="897"/>
        <w:gridCol w:w="166"/>
        <w:gridCol w:w="146"/>
        <w:gridCol w:w="350"/>
        <w:gridCol w:w="775"/>
        <w:gridCol w:w="291"/>
      </w:tblGrid>
      <w:tr>
        <w:trPr/>
        <w:tc>
          <w:tcPr>
            <w:tcW w:w="31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1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Number </w:t>
              <w:br/>
              <w:t xml:space="preserve">of Options </w:t>
              <w:br/>
              <w:t>Outstanding</w:t>
              <w:br/>
              <w:t>(in thousands)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Weighted </w:t>
              <w:br/>
              <w:t xml:space="preserve">Average </w:t>
              <w:br/>
              <w:t>Exercise Price</w:t>
              <w:br/>
              <w:t>(per share)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1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Options exercised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0.79</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1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Options expired/forfeited/cancelled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60" w:after="283"/>
        <w:jc w:val="both"/>
        <w:rPr>
          <w:rFonts w:ascii="Times New Roman" w:hAnsi="Times New Roman"/>
          <w:i/>
          <w:color w:val="000000"/>
          <w:sz w:val="20"/>
        </w:rPr>
      </w:pPr>
      <w:r>
        <w:rPr>
          <w:rFonts w:ascii="Times New Roman" w:hAnsi="Times New Roman"/>
          <w:i/>
          <w:color w:val="000000"/>
          <w:sz w:val="20"/>
        </w:rPr>
        <w:t>Stock-based Compensation Expense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Operating expenses within the condensed consolidated statements of operations include stock-based compensation expense as follows (in thousands):</w:t>
      </w:r>
    </w:p>
    <w:p>
      <w:pPr>
        <w:pStyle w:val="TextBody"/>
        <w:bidi w:val="0"/>
        <w:jc w:val="both"/>
        <w:rPr/>
      </w:pPr>
      <w:r>
        <w:rPr/>
        <w:t> </w:t>
      </w:r>
    </w:p>
    <w:tbl>
      <w:tblPr>
        <w:tblW w:w="6150" w:type="dxa"/>
        <w:jc w:val="left"/>
        <w:tblInd w:w="0" w:type="dxa"/>
        <w:tblLayout w:type="fixed"/>
        <w:tblCellMar>
          <w:top w:w="28" w:type="dxa"/>
          <w:left w:w="28" w:type="dxa"/>
          <w:bottom w:w="28" w:type="dxa"/>
          <w:right w:w="28" w:type="dxa"/>
        </w:tblCellMar>
      </w:tblPr>
      <w:tblGrid>
        <w:gridCol w:w="3651"/>
        <w:gridCol w:w="146"/>
        <w:gridCol w:w="223"/>
        <w:gridCol w:w="604"/>
        <w:gridCol w:w="154"/>
        <w:gridCol w:w="154"/>
        <w:gridCol w:w="223"/>
        <w:gridCol w:w="604"/>
        <w:gridCol w:w="391"/>
      </w:tblGrid>
      <w:tr>
        <w:trPr/>
        <w:tc>
          <w:tcPr>
            <w:tcW w:w="3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Three Months Ended 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995</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1,172</w:t>
            </w:r>
          </w:p>
        </w:tc>
        <w:tc>
          <w:tcPr>
            <w:tcW w:w="1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xml:space="preserve">As of March 31, 2026, total unrecognized compensation costs related to unvested stock options and unvested RSUs under all equity plans, were $16.0 million, which is expected to be recognized as expense over a weighted average period of approximately 3.0 years for stock options and 0.5 years for RSUs.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Basic and diluted net income (loss) per share attributable to common shareholders</w:t>
      </w:r>
    </w:p>
    <w:p>
      <w:pPr>
        <w:pStyle w:val="TextBody"/>
        <w:bidi w:val="0"/>
        <w:spacing w:before="120" w:after="160"/>
        <w:jc w:val="both"/>
        <w:rPr>
          <w:rFonts w:ascii="Times New Roman" w:hAnsi="Times New Roman"/>
          <w:color w:val="000000"/>
          <w:sz w:val="20"/>
        </w:rPr>
      </w:pPr>
      <w:r>
        <w:rPr>
          <w:rFonts w:ascii="Times New Roman" w:hAnsi="Times New Roman"/>
          <w:color w:val="000000"/>
          <w:sz w:val="20"/>
        </w:rPr>
        <w:t xml:space="preserve">Basic earnings per share is calculated by dividing net income or loss attributable to Lineage common shareholders by the weighted average number of common shares outstanding, net of stock options, RSUs, and warrants, subject to repurchase by Lineage, if any, during the period. Diluted earnings per share is calculated by dividing the net income or loss attributable to Lineage common shareholders by the weighted average number of common shares outstanding, adjusted for the effects of potentially dilutive common shares issuable under outstanding stock options, restricted stock awards and warrants, using the treasury-stock method, convertible preferred stock, if any, using the if-converted method, and treasury stock held by subsidiaries, if any. Our liability-classified warrants are treated as equity in the calculation of diluted loss per share in both the computation of the numerator and denominator, if dilutive. </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LINEAGE CELL THERAPEUTICS,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THE CONDENSED CONSOLIDATED INTERIM FINANCIAL STATEMENTS (CONTINUED)</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p>
      <w:pPr>
        <w:pStyle w:val="TextBody"/>
        <w:bidi w:val="0"/>
        <w:jc w:val="center"/>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sets forth the calculations of basic and diluted earnings per share for the three months ended March 31, 2026. The inclusion of the warrants were deemed to be anti-dilutive for the three months ended March 31, 2025, and therefore no diluted loss per share computation was presented for the comparative period:</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6973"/>
        <w:gridCol w:w="146"/>
        <w:gridCol w:w="589"/>
        <w:gridCol w:w="2184"/>
        <w:gridCol w:w="313"/>
      </w:tblGrid>
      <w:tr>
        <w:trPr/>
        <w:tc>
          <w:tcPr>
            <w:tcW w:w="69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2184"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c>
          <w:tcPr>
            <w:tcW w:w="69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3"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 2026</w:t>
            </w:r>
          </w:p>
        </w:tc>
        <w:tc>
          <w:tcPr>
            <w:tcW w:w="31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69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Lineage - basic EPS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(4,812</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697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 Change in fair value of warrant liability - for dilutive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(2,324</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Lineage - diluted EPS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(7,136</w:t>
            </w:r>
          </w:p>
        </w:tc>
        <w:tc>
          <w:tcPr>
            <w:tcW w:w="3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weighted-average common shares used to compute net loss 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245,029</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97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Add: Dilutive effect of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16,146</w:t>
            </w:r>
          </w:p>
        </w:tc>
        <w:tc>
          <w:tcPr>
            <w:tcW w:w="3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weighted-average common shares used to compute net loss 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261,175</w:t>
            </w:r>
          </w:p>
        </w:tc>
        <w:tc>
          <w:tcPr>
            <w:tcW w:w="3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common share attributable to Lineage: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97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313"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697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3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common share equivalents were excluded from the computation of diluted net loss per common share for the periods presented because including them would have been antidilutive (in thousands): </w:t>
      </w:r>
    </w:p>
    <w:p>
      <w:pPr>
        <w:pStyle w:val="TextBody"/>
        <w:bidi w:val="0"/>
        <w:spacing w:before="40" w:after="283"/>
        <w:jc w:val="both"/>
        <w:rPr/>
      </w:pPr>
      <w:r>
        <w:rPr/>
        <w:t> </w:t>
      </w:r>
    </w:p>
    <w:tbl>
      <w:tblPr>
        <w:tblW w:w="4613" w:type="dxa"/>
        <w:jc w:val="left"/>
        <w:tblInd w:w="0" w:type="dxa"/>
        <w:tblLayout w:type="fixed"/>
        <w:tblCellMar>
          <w:top w:w="28" w:type="dxa"/>
          <w:left w:w="28" w:type="dxa"/>
          <w:bottom w:w="28" w:type="dxa"/>
          <w:right w:w="28" w:type="dxa"/>
        </w:tblCellMar>
      </w:tblPr>
      <w:tblGrid>
        <w:gridCol w:w="1876"/>
        <w:gridCol w:w="146"/>
        <w:gridCol w:w="181"/>
        <w:gridCol w:w="838"/>
        <w:gridCol w:w="181"/>
        <w:gridCol w:w="181"/>
        <w:gridCol w:w="181"/>
        <w:gridCol w:w="838"/>
        <w:gridCol w:w="191"/>
      </w:tblGrid>
      <w:tr>
        <w:trPr/>
        <w:tc>
          <w:tcPr>
            <w:tcW w:w="1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39,311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33,328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2"/>
              </w:rPr>
            </w:pPr>
            <w:r>
              <w:rPr>
                <w:rFonts w:ascii="Times New Roman" w:hAnsi="Times New Roman"/>
                <w:color w:val="000000"/>
                <w:sz w:val="20"/>
              </w:rPr>
              <w:t xml:space="preserve">Warrants </w:t>
            </w:r>
            <w:r>
              <w:rPr>
                <w:rFonts w:ascii="Times New Roman" w:hAnsi="Times New Roman"/>
                <w:color w:val="000000"/>
                <w:sz w:val="15"/>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41,447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both"/>
        <w:rPr/>
      </w:pPr>
      <w:r>
        <w:rPr/>
        <w:t> </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The warrants outstanding for the three months ended March 31, 2026 were deemed to be dilutive, and therefore included in the computation of diluted net loss per common share.</w:t>
      </w:r>
    </w:p>
    <w:p>
      <w:pPr>
        <w:pStyle w:val="TextBody"/>
        <w:bidi w:val="0"/>
        <w:jc w:val="left"/>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12. Income Taxes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The provision for income taxes for interim periods is generally determined using an estimated annual effective tax rate as prescribed by ASC 740-270, </w:t>
      </w:r>
      <w:r>
        <w:rPr>
          <w:rFonts w:ascii="Times New Roman" w:hAnsi="Times New Roman"/>
          <w:i/>
          <w:color w:val="000000"/>
          <w:sz w:val="20"/>
        </w:rPr>
        <w:t>Income Taxes, Interim Reporting</w:t>
      </w:r>
      <w:r>
        <w:rPr>
          <w:rFonts w:ascii="Times New Roman" w:hAnsi="Times New Roman"/>
          <w:color w:val="000000"/>
          <w:sz w:val="20"/>
        </w:rPr>
        <w:t>. The effective tax rate may be subject to fluctuations during the year as new information is obtained, which may affect the assumptions used to estimate the annual effective tax rate, including factors such as valuation allowances and changes in valuation allowances against deferred tax assets, the recognition or de-recognition of tax benefits related to uncertain tax positions, if any, and changes in or the interpretation of tax laws in jurisdictions where Lineage conducts business. ASC 740-270 also states that if an entity is unable to reliably estimate some or a part of its ordinary income or loss, the income tax provision or benefit applicable to the item that cannot be estimated shall be reported in the interim period in which the item is reported. For items that Lineage cannot reliably estimate on an annual basis, Lineage uses the actual year to date effective tax rate rather than an estimated annual effective tax rate to determine the tax effect of each item, including the use of all available net operating losses and other credits or deferred tax assets.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Under ASC 740, a valuation allowance is provided when it is more likely than not that some portion of the deferred tax assets will not be realized. As of December 31, 2025, Lineage released the valuation allowance associated with the Israel subsidiary’s deferred tax assets based on sustained profitability and other positive evidence. Lineage continues to maintain a full valuation allowance against the U.S. and Singapore deferred tax assets due to the uncertainty of realizing future tax benefits from its net operating loss carryforwards and other deferred tax assets in those jurisdictions.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Lineage did not record a deferred tax benefit or provision expense during the three months ended March 31, 2026 or 2025.</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LINEAGE CELL THERAPEUTICS,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THE CONDENSED CONSOLIDATED INTERIM FINANCIAL STATEMENTS (CONTINUED)</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p>
      <w:pPr>
        <w:pStyle w:val="TextBody"/>
        <w:bidi w:val="0"/>
        <w:jc w:val="center"/>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13. Commitments and Contingencies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Real Property Leases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Lineage Lease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May 2019, Lineage entered into a lease for approximately 8,841 square feet of rentable space in an office park in Carlsbad, California. The lease was amended in December 2022 and again in September 2025. Under the amendment entered into in September 2025, the term of the lease was extended for 36 months commencing on April 1, 2026, and commencing on December 1, 2025, the monthly base rent was reduced from $26,700 to $24,800, subject to 3% annual increases and rent will be abated for April 2026 through July 2026. As security for the performance of its obligations under the lease, Lineage provided the landlord a security deposit of $17,850, which is included in deposits and other long-term assets on the condensed consolidated balance sheet as of March 31, 2026.</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to base rent, Lineage pays a pro-rata portion of increases in certain expenses, including real property taxes, utilities (to the extent not separately metered to the leased space) and the landlord’s operating expenses, over the amounts of those expenses incurred by the landlord. These pro-rata charges are expensed as incurred and excluded from the calculation of the right-of-use assets and lease liabilities.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Lineage Subleases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September 2022, Lineage entered into a sublease for approximately 4,500 square feet of rentable industrial space in Carlsbad, California for a term that commenced on October 1, 2022. In February 2024, Lineage extended the term of the sublease for 24 months through March 31, 2026. The base rent was $23,000 per month for the first twelve months of the extended term and was $23,500 for the remaining twelve months through March 31, 2026. As security for the performance of its obligations under the sublease, Lineage provided the landlord with a security deposit of $22,500, which is included in prepaid expenses and other current assets on the condensed consolidated balance sheet as of March 31, 2026.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connection with the termination of the above sublease, Lineage entered into a new sublease in December 2025 for approximately 1,674 square feet of rentable industrial space in San Diego, California, for a 38-month term that commenced in February 2026. The base rent is $5,189 per month, plus a 4% management fee, for the first twelve months with an annual increase of 3.5%, with rent abatements in March 2026 and February 2027. As security for the performance of its obligations under the sublease, Lineage provided the landlord with a security deposit of $10,378, which is included in deposits and other long term assets, on the condensed consolidated balance sheet as of March 31, 2026.</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CCN Leases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March 31, 2026, CCN leases approximately 2,096 square meters (approximately 22,600 square feet) of combined office and laboratory space in Jerusalem, Israel under a master lease, as amended, that expires December 31, 2027. Cumulative base rent and construction allowance payments are approximately 165,000 Israeli New Shekels (“ILS”) per month (approximately $52,000 as of March 31, 2026), excluding any future rent escalations, and includes options to extend the lease term for five years. The U.S. dollar value of the ILS denominated base rent and construction allowance payments fluctuates based upon currency exchange rates. In addition to base rent, CCN pays a pro-rata share of real property taxes and certain costs related to the operation and maintenance of the building in which the leased premises are located, including parking usage fees. These pro-rata charges are expensed as incurred and excluded from the calculation of the ROU assets and lease liabilities.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CCN has security deposits denominated in ILS with the landlord for this master lease which is classified as restricted cash during the term of the lease. The U.S. dollar value of the ILS denominated security deposits fluctuates based upon currency exchange rates and was $537,000 as of March 31, 2026, which is included in deposits and other long-term assets on the condensed consolidated balance sheet.</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LINEAGE CELL THERAPEUTICS,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THE CONDENSED CONSOLIDATED INTERIM FINANCIAL STATEMENTS (CONTINUED)</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p>
      <w:pPr>
        <w:pStyle w:val="TextBody"/>
        <w:bidi w:val="0"/>
        <w:jc w:val="center"/>
        <w:rPr/>
      </w:pPr>
      <w:r>
        <w:rPr/>
        <w:t>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Supplemental Information – Leases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Supplemental cash flow information related to leases is as follows (in thousands):</w:t>
      </w:r>
    </w:p>
    <w:p>
      <w:pPr>
        <w:pStyle w:val="TextBody"/>
        <w:bidi w:val="0"/>
        <w:jc w:val="left"/>
        <w:rPr/>
      </w:pPr>
      <w:r>
        <w:rPr/>
        <w:t> </w:t>
      </w:r>
    </w:p>
    <w:tbl>
      <w:tblPr>
        <w:tblW w:w="8246" w:type="dxa"/>
        <w:jc w:val="left"/>
        <w:tblInd w:w="0" w:type="dxa"/>
        <w:tblLayout w:type="fixed"/>
        <w:tblCellMar>
          <w:top w:w="28" w:type="dxa"/>
          <w:left w:w="28" w:type="dxa"/>
          <w:bottom w:w="28" w:type="dxa"/>
          <w:right w:w="28" w:type="dxa"/>
        </w:tblCellMar>
      </w:tblPr>
      <w:tblGrid>
        <w:gridCol w:w="5311"/>
        <w:gridCol w:w="146"/>
        <w:gridCol w:w="325"/>
        <w:gridCol w:w="649"/>
        <w:gridCol w:w="225"/>
        <w:gridCol w:w="225"/>
        <w:gridCol w:w="325"/>
        <w:gridCol w:w="649"/>
        <w:gridCol w:w="391"/>
      </w:tblGrid>
      <w:tr>
        <w:trPr/>
        <w:tc>
          <w:tcPr>
            <w:tcW w:w="5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 xml:space="preserve">Cash paid for amounts included in the measurement of </w:t>
              <w:br/>
              <w:t>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cash flows from 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cash flows from finance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Financing cash flows from finance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531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Right-of-use assets obtained in exchange for lease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3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Finance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Supplemental balance sheet information related to leases was as follows (in thousands, except lease term and discount rate):</w:t>
      </w:r>
    </w:p>
    <w:p>
      <w:pPr>
        <w:pStyle w:val="TextBody"/>
        <w:bidi w:val="0"/>
        <w:jc w:val="both"/>
        <w:rPr/>
      </w:pPr>
      <w:r>
        <w:rPr/>
        <w:t> </w:t>
      </w:r>
    </w:p>
    <w:tbl>
      <w:tblPr>
        <w:tblW w:w="7160" w:type="dxa"/>
        <w:jc w:val="left"/>
        <w:tblInd w:w="0" w:type="dxa"/>
        <w:tblLayout w:type="fixed"/>
        <w:tblCellMar>
          <w:top w:w="28" w:type="dxa"/>
          <w:left w:w="28" w:type="dxa"/>
          <w:bottom w:w="28" w:type="dxa"/>
          <w:right w:w="28" w:type="dxa"/>
        </w:tblCellMar>
      </w:tblPr>
      <w:tblGrid>
        <w:gridCol w:w="3591"/>
        <w:gridCol w:w="146"/>
        <w:gridCol w:w="299"/>
        <w:gridCol w:w="811"/>
        <w:gridCol w:w="271"/>
        <w:gridCol w:w="146"/>
        <w:gridCol w:w="352"/>
        <w:gridCol w:w="953"/>
        <w:gridCol w:w="591"/>
      </w:tblGrid>
      <w:tr>
        <w:trPr/>
        <w:tc>
          <w:tcPr>
            <w:tcW w:w="3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March 31, 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December 31, 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2,127</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2,131</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r>
      <w:tr>
        <w:trPr/>
        <w:tc>
          <w:tcPr>
            <w:tcW w:w="35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Right-of-use lease liabilities,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Right-of-use lease liabilities,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1,507</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2,350</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Finance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Right-of-use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40"/>
              <w:jc w:val="left"/>
              <w:rPr/>
            </w:pPr>
            <w:r>
              <w:rPr/>
              <w:t> </w:t>
            </w:r>
          </w:p>
        </w:tc>
      </w:tr>
      <w:tr>
        <w:trPr/>
        <w:tc>
          <w:tcPr>
            <w:tcW w:w="35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Right-of-use lease liabilities,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Right-of-use lease liabilities,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finance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27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591"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40"/>
              <w:jc w:val="left"/>
              <w:rPr/>
            </w:pPr>
            <w:r>
              <w:rPr/>
              <w:t> </w:t>
            </w:r>
          </w:p>
        </w:tc>
      </w:tr>
      <w:tr>
        <w:trPr/>
        <w:tc>
          <w:tcPr>
            <w:tcW w:w="35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 average remaining lease 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 years</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 years</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Finance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 years</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0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 years</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359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 average discount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Finance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Future minimum lease commitments are as follows as of March 31, 2026 (in thousands):</w:t>
      </w:r>
    </w:p>
    <w:p>
      <w:pPr>
        <w:pStyle w:val="TextBody"/>
        <w:bidi w:val="0"/>
        <w:jc w:val="left"/>
        <w:rPr/>
      </w:pPr>
      <w:r>
        <w:rPr/>
        <w:t> </w:t>
      </w:r>
    </w:p>
    <w:tbl>
      <w:tblPr>
        <w:tblW w:w="6020" w:type="dxa"/>
        <w:jc w:val="left"/>
        <w:tblInd w:w="0" w:type="dxa"/>
        <w:tblLayout w:type="fixed"/>
        <w:tblCellMar>
          <w:top w:w="28" w:type="dxa"/>
          <w:left w:w="28" w:type="dxa"/>
          <w:bottom w:w="28" w:type="dxa"/>
          <w:right w:w="28" w:type="dxa"/>
        </w:tblCellMar>
      </w:tblPr>
      <w:tblGrid>
        <w:gridCol w:w="2401"/>
        <w:gridCol w:w="146"/>
        <w:gridCol w:w="367"/>
        <w:gridCol w:w="998"/>
        <w:gridCol w:w="166"/>
        <w:gridCol w:w="146"/>
        <w:gridCol w:w="449"/>
        <w:gridCol w:w="736"/>
        <w:gridCol w:w="611"/>
      </w:tblGrid>
      <w:tr>
        <w:trPr/>
        <w:tc>
          <w:tcPr>
            <w:tcW w:w="24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Operating Leases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Finance Leases</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Year Ending December 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lease 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998"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2,504</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73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6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Operating lease expense was $0.3 million for each of the three months ended March 31, 2026 and 2025, respectively.</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LINEAGE CELL THERAPEUTICS,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THE CONDENSED CONSOLIDATED INTERIM FINANCIAL STATEMENTS (CONTINUED)</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p>
      <w:pPr>
        <w:pStyle w:val="TextBody"/>
        <w:bidi w:val="0"/>
        <w:jc w:val="center"/>
        <w:rPr/>
      </w:pPr>
      <w:r>
        <w:rPr/>
        <w:t>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Collaborations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Roche Agreement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December 2021, Lineage entered into the Roche Agreement, wherein Lineage granted to Roche exclusive worldwide rights to develop and commercialize RPE cell therapies, including OpRegen, for the treatment of ocular disorders, including GA secondary to AMD.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Under the terms of the Roche Agreement, Roche paid Lineage a $50.0 million upfront payment (which was received in January 2022) and another $5.0 million milestone payment (which was received in December 2025). Lineage is eligible to receive up to an additional $615.0 million in developmental, regulatory and commercialization milestone payments. Lineage also is eligible for tiered double-digit percentage royalties on net sales of OpRegen in the U.S. and other major markets. All regulatory and commercial milestone payments and royalty payments are subject to the existence of certain intellectual property rights that cover OpRegen at the time such payments would otherwise become due, and the royalty payments on net sales of OpRegen are subject to financial offsets based on the existence of competing products. Roche assumed responsibility for further clinical development and commercialization of OpRegen. Lineage is responsible for completing activities related to its ongoing phase 1/2a clinical study, for which enrollment is complete, and performing certain manufacturing and process development activities.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Unless earlier terminated by either party, the Roche Agreement will expire on a product-by-product and country-by-country basis upon the expiration of all of Roche’s payment obligations under the agreement. Roche may terminate the agreement in its entirety, or on a product-by-product or country-by-country basis, at any time with advance written notice. Either party may terminate the agreement in its entirety with written notice for the other party’s material breach if such party fails to cure the breach or upon certain insolvency events involving the other party.</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Agreements with Hadasit and IIA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OpRegen program was supported in part with licenses to technology obtained from Hadasit, the technology transfer company of Hadassah Medical Center, and through a series of research grants from the IIA, an independent agency created to address the needs of global innovation ecosystems. A subset of the intellectual property underlying OpRegen was originally generated at Hadassah Medical Center and licensed to CCN for further development.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Under the Encouragement of Research, Development and Technological Innovation in the Industry Law 5744, and the regulations, guidelines, rules, procedures and benefit tracks thereunder (collectively, the “Innovation Law”), annual research and development programs that meet specified criteria and were approved by a committee of the IIA were eligible for grants. The grants awarded were typically up to 50% of the project’s expenditures, as determined by the IIA committee and subject to the benefit track under which the grant was awarded.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terms of the grants under the Innovation Law generally require that the products developed as part of the programs under which the grants were given be manufactured in Israel. The know-how developed thereunder may not be transferred outside of Israel unless prior written approval is received from the IIA. Transfer of IIA-funded know-how outside of Israel is subject to approval and payment of a redemption fee to the IIA calculated according to formulas provided under the Innovation Law. In November 2021, the IIA research committee approved an application made by CCN with respect to the grant of an exclusive license and transfer of the technological know-how for OpRegen to Roche. Under the provisions for the redemption fee, Lineage paid the IIA approximately 24.1% of each of the $50.0 million upfront payment and the $5.0 million milestone payment it received under the Roche Agreement, or $12.1 million and $1.2 million, respectively, and is obligated to pay the IIA approximately 24.1% of any milestone and royalty payments which may be received under the Roche Agreement, up to an aggregate cap on all payments, such cap growing over time via interest accrual until paid in full. As of March 31, 2026, the aggregate cap amount was approximately $96.7 million. In accordance with obligations under the Innovation Law, Lineage continues to fund CCN to pay the downstream payments to the IIA.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Pursuant to the Second Amended and Restated License Agreement, dated June 15, 2017, between CCN and Hadasit, and a certain letter agreement entered into on December 17, 2021, CCN paid a sublicensing fee to Hadasit of $8.9 million or 21.5% of the $50.0 million upfront payment under the Roche Agreement (subject to certain reductions), and CCN is obligated to pay Hadasit (i) a maximum of 21.5% of all milestone payments Lineage receives under the Roche Agreement (subject to certain reductions, including for costs related to Lineage’s performance obligations under the Roche Agreement), and (ii) up to 50% of all royalty payments (subject to a maximum payment of 5% of net sales of products), Lineage receives under the Roche Agreement. In accordance with the foregoing, in respect of the $5.0 million milestone payment received under the Roche Agreement in December 2025, Lineage funded CCN to pay </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LINEAGE CELL THERAPEUTICS,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THE CONDENSED CONSOLIDATED INTERIM FINANCIAL STATEMENTS (CONTINUED)</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p>
      <w:pPr>
        <w:pStyle w:val="TextBody"/>
        <w:bidi w:val="0"/>
        <w:jc w:val="center"/>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$1.1 million to Hadasit in January 2026. The letter agreement generally terminates upon the termination of the Roche Agreement. In accordance with the terms of these agreements, the initial sublicensing fee payment to Hadasit was reduced for costs related to Lineage’s performance obligations under the Roche Agreement. To the extent such costs were not incurred within five years after the execution of the Roche Agreement, CCN would have been required to pay Hadasit 21.5% of the amount of costs not incurred; however to date, all such costs have been incurred.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WDI Collaboration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August 22, 2025, Lineage and WDI entered into a research collaboration agreement (the “RCA”) to advance the preclinical development of ReSonance (ANP1) for the treatment of hearing loss (the “Project”). WDI has agreed to fund up to $12 million in research collaboration costs over the approximate three-year term of the RCA, a portion of which has been expended to date to support activities thereunder. The main objective of the RCA is for the parties to complete a preclinical phase achieving readiness to potentially progress to human clinical trials under one or more separate clinical agreements, the terms of which would be negotiated in good faith before the expiration of the RCA.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All intellectual property owned by a party prior to the date of the RCA will remain such party’s sole and exclusive property. The parties will jointly own all results, data, reports, know-how and patent(s) conceived or otherwise generated in the course of and resulting from the Project, other than discoveries or developments relating to Lineage’s proprietary platform technology.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a party (the “abandoning party”) informs the other party (the “continuing party”) that it will not continue the research with the other party under a clinical agreement, the continuing party may purchase the abandoning party’s ownership interest in the intellectual property resulting from the Project for exploitation for the treatment of hearing loss and a license to the abandoning party’s background intellectual property to the extent necessary for such exploitation for an amount and on terms to be determined by the mutual agreement of the parties, and if such mutual agreement is not reached, by an independent third-party.</w:t>
      </w:r>
    </w:p>
    <w:p>
      <w:pPr>
        <w:pStyle w:val="TextBody"/>
        <w:bidi w:val="0"/>
        <w:spacing w:before="360" w:after="283"/>
        <w:jc w:val="both"/>
        <w:rPr>
          <w:rFonts w:ascii="Times New Roman" w:hAnsi="Times New Roman"/>
          <w:sz w:val="20"/>
        </w:rPr>
      </w:pPr>
      <w:r>
        <w:rPr>
          <w:rFonts w:ascii="Times New Roman" w:hAnsi="Times New Roman"/>
          <w:i/>
          <w:color w:val="000000"/>
          <w:sz w:val="20"/>
        </w:rPr>
        <w:t>Other Contingent Obligations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obligations under license agreements and grants received from government entities to make future payments to third parties, which become due and payable on the achievement of certain development, regulatory and commercial milestones or on the sublicense of our rights to another party. These commitments include sublicense fees, milestone payments, redemption fees and royalties. Sublicense fees are payable to licensors or government entities when we sublicense underlying intellectual property to third parties; the fees are based on a percentage of the license-related revenue we receive from sublicensees. Milestone payments are due to licensors or government entities upon the future achievement of certain development and regulatory milestones. Redemption fees due to the IIA under the Innovation Law are due upon receipt of any milestone or royalty payment received in respect of IIA-funded programs. Royalties are payable to licensors or government entities based on a percentage of net sales of licensed products. As of March 31, 2026, we have not included these commitments on our condensed consolidated balance sheet because the achievement and timing of these events are not fixed and determinable.</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Litigation – General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From time to time, we are subject to legal proceedings and claims in the ordinary course of business. While management presently believes that the ultimate outcome of these proceedings, individually and in the aggregate, will not materially harm our financial position, cash flows, or overall trends in results of operations, legal proceedings are subject to inherent uncertainties, and unfavorable rulings or outcomes could occur that have individually or in aggregate, a material adverse effect on our business, financial condition or operating results. We are not currently subject to any pending material litigation, other than ordinary routine litigation incidental to our business.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HBL Books and Records Request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April 2023, CCN received a motion for disclosure of documents pursuant to Section 198A of the Israeli Companies Law 5759-1999. The motion was filed in the district court in Tel Aviv-Yafo (the “Court”) by HBL, currently an approximately 5% shareholder of CCN. According to the motion, the requested production of documents was intended to allow HBL to examine the possibility of pursuing a derivative action related to, among other things, the validity of an intercompany Collaboration and License Agreement (the “Intercompany Agreement”) entered into between Lineage and CCN pursuant to which CCN conveyed certain rights and other assets to Lineage, and Lineage agreed to undertake certain liabilities and obligations of CCN relating to the OpRegen program. In its motion, HBL alleged, among other things, that Lineage, in its capacity as CCN’s controlling shareholder, and members of CCN’s board of directors, caused damage to CCN because the Intercompany Agreement was an interested party transaction that was not fairly priced and that exploited CCN’s resources for the benefit of Lineage. The motion sought an order to compel CCN to disclose and deliver to HBL the documents described in the motion, such additional, cumulative, or alternative relief as the Court deemed appropriate, and </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LINEAGE CELL THERAPEUTICS,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THE CONDENSED CONSOLIDATED INTERIM FINANCIAL STATEMENTS (CONTINUED)</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p>
      <w:pPr>
        <w:pStyle w:val="TextBody"/>
        <w:bidi w:val="0"/>
        <w:jc w:val="center"/>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reimbursement of HBL’s expenses, including attorneys’ fees. The Court held a hearing on the motion in March 2024 after which the parties retained a third-party valuation firm to assess the fairness of the valuation that was performed in support of the Intercompany Agreement. In June 2025, the third-party valuation firm delivered its report stating that, in its opinion, the consideration paid by Lineage to CCN under the Intercompany Agreement was insufficient. The Court subsequently notified the parties that they were to advise the Court whether they had settled the matter between themselves. On January 14, 2026, HBL notified the Court that the parties had failed to reach a settlement and moved the Court to terminate the proceedings in order to potentially initiate separate proceedings. CCN responded to HBL’s motion on February 10, 2026 requesting that the Court deny HBL’s motion. On March 12, 2026, the Court granted HBL’s motion.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Employment Contracts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Lineage has employment agreements with all of its executive officers. Under the provisions of the agreements, Lineage may be required to incur severance obligations for matters relating to changes in control, as defined in the agreements, and involuntary terminations.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Indemnification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the normal course of business, Lineage may agree to indemnify and reimburse other parties, typically clinical research organizations, investigators, clinical sites, and suppliers, for losses and expenses suffered or incurred by the indemnified parties arising from claims of third parties in connection with the use or testing of Lineage’s product candidates and services. Indemnification could also cover third party infringement claims with respect to patent rights, copyrights, or other intellectual property pertaining to Lineage products and services. The term of these indemnification agreements generally continue in effect after the termination or expiration of the particular research, development, services, or license agreement to which they relate. In addition, Lineage has entered into indemnification agreements with its officers and members of its board of directors that will require Lineage, among other things, to indemnify them against certain liabilities that may arise by reason of their status or service as officers or directors. The potential future payments Lineage could be required to make under the indemnification agreements described in this paragraph will generally not be subject to any specified maximum amount. Generally, Lineage has not been subject to any material claims or demands for indemnification. Lineage maintains liability insurance policies that are intended to limit its financial exposure under certain of the indemnification agreements described in this paragraph. Lineage has not recorded any liabilities for these agreements as of March 31, 2026 or December 31, 2025.</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Royalty Obligations and License Fees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licensing agreements with research institutions, universities and other parties providing us with certain rights to use intellectual property in our research, development and commercialization activities, in exchange for which we have agreed to pay potential developmental, regulatory and/or commercial milestone payments and/or royalties on future product sales, if any. In addition, in order to maintain these licenses and other rights, we must comply with various conditions including the payment of patent related costs and annual minimum maintenance fees.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part of the Asterias Merger, Lineage acquired royalty revenues for cash flows generated under patent families that Asterias acquired from Geron Corporation. Lineage continues to make royalty payments to Geron from royalties generated from these patents. Royalty revenues and royalty payments are included within royalties, license and other revenues and cost of royalties, respectively, in our condensed consolidated statements of operations.</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bookmarkStart w:id="12" w:name="item_2_mda"/>
      <w:bookmarkEnd w:id="12"/>
      <w:r>
        <w:rPr>
          <w:rFonts w:ascii="Times New Roman" w:hAnsi="Times New Roman"/>
          <w:b/>
          <w:color w:val="000000"/>
          <w:sz w:val="20"/>
        </w:rPr>
        <w:t>Item 2. Management’s Discussion and Analysis of Financial Condition and Results of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discussion and analysis of financial condition and results of operations should be read in conjunction with our accompanying unaudited condensed consolidated interim financial statements and notes thereto and our audited financial statements and notes thereto for the year ended December 31, 2025 included in the 2025 10-K. Past operating results are not necessarily indicative of results that may occur in future periods.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discussion includes forward-looking statements. See “Special Note Regarding Forward-Looking Statements,” above. Forward-looking statements are not guarantees of future performance and our actual results may differ materially from those currently anticipated and from historical results depending upon a variety of factors, including, but not limited to, those discussed in Part I, Item 1A. Risk Factors of the 2025 10-K, and in our subsequent filings with the SEC, including any discussed in Part II, Item 1A of this report under the heading “Risk Factors.”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All information presented in this report is based on our fiscal year. Unless otherwise stated, references to particular years, quarters, months or periods refer to our fiscal years ending December 31 and the associated quarters, months and periods of those fiscal years.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Company and Business Overview</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are a clinical-stage biotechnology company developing cell replacement therapies to treat serious medical conditions. Certain diseases and medical events can arise from the loss of critical cellular activity and lead to devastating or difficult-to-treat conditions or impairments. Our work is grounded in the emerging evidence that replacing or supporting those cells that have become dysfunctional or “lost” (destroyed or dead) can restore or replenish normal function and improve treatment and recovery paradigms. We call this approach “Replace and Restore”. We believe cellular therapies aimed at replacing dysfunctional or destroyed cells may have more durable, broader, or suitable applicability than traditional pharmaceutical products, which often seek to affect just a single molecular target or group of biological pathways. Transplantation of replacement cells represents an emerging branch of medicine, and we believe we are uniquely positioned to capitalize on its opportunities by demonstrating the value of administering mature, differentiated cells to patients.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development programs are based on our proprietary, in-house, cell-based manufacturing platform, which we call AlloSCOPE (Allogeneic, Scalable, Consistent, Off-the-shelf, Pluripotent Cell Engineering), and supported by our associated development, formulation, manufacturing, and delivery capabilities. The AlloSCOPE platform is a proprietary differentiation and production modality from which, i) a single, well-characterized pluripotent cell line can create a stable current Good Manufacturing Practice (cGMP) master cell bank (MCB), ii) a vial from our MCB can create a cGMP working cell bank (WCB), and iii) a vial from our WCB can create several hundred to many thousands of vials of a final, allogeneic cell-based product, ready for patient dosing. This process can confer consistent, cost-effective, and scalable cell-based production. Importantly, the AlloSCOPE platform can be applied across multiple programs, which we believe could offer advantages in the pursuit of commercially successful, allogeneic and “off the shelf” cell therapies. In some instances, we also apply a proprietary “thaw-and-inject” formulation into our product profiles, which allows for rapid dosing and “immediate use” of our cells. This formulation technology can greatly reduce the lengthy dose preparation steps often associated with certain cell therapy programs.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business strategy aims to efficiently leverage our AlloSCOPE platform and our development and manufacturing expertise to create a pipeline of related but discrete cell-based assets, some of which we may advance internally toward commercialization and some of which we may seek to partner during early or late development, if we believe doing so will enhance their probability of success and add value to Lineage and our shareholders. In some cases, the cells we manufacture or plan to manufacture have a clear clinical precedent from cadaveric sources, such as the well-established use of islet cells to achieve insulin independence in patients with Type 1 Diabetes or corneal endothelial cells to improve vision in patients with Fuchs’ corneal dystrophy, each leading to approved products or procedures. In other cases, the utility of replacing a specific cell or related cells is not yet established. All of our product candidates are based on our core AlloSCOPE platform, and utilize our extensive expertise in the directed differentiation and scalable production of pluripotent cells into discrete cell types of the human body.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pipeline currently includes:</w:t>
      </w:r>
    </w:p>
    <w:p>
      <w:pPr>
        <w:pStyle w:val="TextBody"/>
        <w:bidi w:val="0"/>
        <w:spacing w:before="240" w:after="120"/>
        <w:jc w:val="both"/>
        <w:rPr>
          <w:color w:val="000000"/>
        </w:rPr>
      </w:pPr>
      <w:r>
        <w:rPr>
          <w:color w:val="000000"/>
        </w:rPr>
        <w:t>•</w:t>
      </w:r>
    </w:p>
    <w:p>
      <w:pPr>
        <w:pStyle w:val="TextBody"/>
        <w:bidi w:val="0"/>
        <w:spacing w:before="240" w:after="120"/>
        <w:jc w:val="both"/>
        <w:rPr/>
      </w:pPr>
      <w:r>
        <w:rPr>
          <w:rFonts w:ascii="Times New Roman" w:hAnsi="Times New Roman"/>
          <w:i/>
          <w:color w:val="000000"/>
          <w:sz w:val="20"/>
        </w:rPr>
        <w:t>OpRegen (RG6501)</w:t>
      </w:r>
      <w:r>
        <w:rPr>
          <w:rFonts w:ascii="Times New Roman" w:hAnsi="Times New Roman"/>
          <w:color w:val="000000"/>
          <w:sz w:val="20"/>
        </w:rPr>
        <w:t xml:space="preserve">, our most clinically advanced program, an allogeneic retinal pigmented epithelial (RPE) cell replacement therapy currently in Phase 2a development under a worldwide collaboration with F. Hoffmann-La Roche Ltd. and Genentech, Inc., a member of the Roche Group (collectively or individually, “Roche” or “Genentech”), for the treatment of geographic atrophy (GA) secondary to dry age-related macular degeneration (dry-AMD). </w:t>
      </w:r>
    </w:p>
    <w:p>
      <w:pPr>
        <w:pStyle w:val="TextBody"/>
        <w:bidi w:val="0"/>
        <w:spacing w:before="0" w:after="120"/>
        <w:jc w:val="both"/>
        <w:rPr>
          <w:color w:val="000000"/>
        </w:rPr>
      </w:pPr>
      <w:r>
        <w:rPr>
          <w:color w:val="000000"/>
        </w:rPr>
        <w:t>•</w:t>
      </w:r>
    </w:p>
    <w:p>
      <w:pPr>
        <w:pStyle w:val="TextBody"/>
        <w:bidi w:val="0"/>
        <w:spacing w:before="0" w:after="120"/>
        <w:jc w:val="both"/>
        <w:rPr/>
      </w:pPr>
      <w:r>
        <w:rPr>
          <w:rFonts w:ascii="Times New Roman" w:hAnsi="Times New Roman"/>
          <w:i/>
          <w:color w:val="000000"/>
          <w:sz w:val="20"/>
        </w:rPr>
        <w:t>OPC1</w:t>
      </w:r>
      <w:r>
        <w:rPr>
          <w:rFonts w:ascii="Times New Roman" w:hAnsi="Times New Roman"/>
          <w:color w:val="000000"/>
          <w:sz w:val="20"/>
        </w:rPr>
        <w:t xml:space="preserve">, an allogeneic oligodendrocyte progenitor cell therapy currently in Phase 1/2a development for the treatment of spinal cord injuries (SCI). </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color w:val="000000"/>
        </w:rPr>
      </w:pPr>
      <w:r>
        <w:rPr>
          <w:color w:val="000000"/>
        </w:rPr>
        <w:t>•</w:t>
      </w:r>
    </w:p>
    <w:p>
      <w:pPr>
        <w:pStyle w:val="TextBody"/>
        <w:bidi w:val="0"/>
        <w:spacing w:before="0" w:after="120"/>
        <w:jc w:val="both"/>
        <w:rPr/>
      </w:pPr>
      <w:r>
        <w:rPr>
          <w:rFonts w:ascii="Times New Roman" w:hAnsi="Times New Roman"/>
          <w:i/>
          <w:color w:val="000000"/>
          <w:sz w:val="20"/>
        </w:rPr>
        <w:t>ReSonance</w:t>
      </w:r>
      <w:r>
        <w:rPr>
          <w:rFonts w:ascii="Times New Roman" w:hAnsi="Times New Roman"/>
          <w:i/>
          <w:color w:val="000000"/>
          <w:sz w:val="13"/>
        </w:rPr>
        <w:t>TM</w:t>
      </w:r>
      <w:r>
        <w:rPr>
          <w:color w:val="000000"/>
        </w:rPr>
        <w:t xml:space="preserve"> </w:t>
      </w:r>
      <w:r>
        <w:rPr>
          <w:rFonts w:ascii="Times New Roman" w:hAnsi="Times New Roman"/>
          <w:color w:val="000000"/>
          <w:sz w:val="20"/>
        </w:rPr>
        <w:t xml:space="preserve">(ANP1), an allogeneic auditory neuron progenitor cell transplant therapy currently in preclinical development under collaboration with William Demant Invest 2 Aps (WDI) for the treatment of auditory neuropathy. </w:t>
      </w:r>
    </w:p>
    <w:p>
      <w:pPr>
        <w:pStyle w:val="TextBody"/>
        <w:bidi w:val="0"/>
        <w:spacing w:before="0" w:after="120"/>
        <w:jc w:val="both"/>
        <w:rPr>
          <w:color w:val="000000"/>
        </w:rPr>
      </w:pPr>
      <w:r>
        <w:rPr>
          <w:color w:val="000000"/>
        </w:rPr>
        <w:t>•</w:t>
      </w:r>
    </w:p>
    <w:p>
      <w:pPr>
        <w:pStyle w:val="TextBody"/>
        <w:bidi w:val="0"/>
        <w:spacing w:before="0" w:after="120"/>
        <w:jc w:val="both"/>
        <w:rPr/>
      </w:pPr>
      <w:r>
        <w:rPr>
          <w:rFonts w:ascii="Times New Roman" w:hAnsi="Times New Roman"/>
          <w:i/>
          <w:color w:val="000000"/>
          <w:sz w:val="20"/>
        </w:rPr>
        <w:t xml:space="preserve">COR1, </w:t>
      </w:r>
      <w:r>
        <w:rPr>
          <w:rFonts w:ascii="Times New Roman" w:hAnsi="Times New Roman"/>
          <w:color w:val="000000"/>
          <w:sz w:val="20"/>
        </w:rPr>
        <w:t xml:space="preserve">an allogeneic cell corneal endothelial cell (CEnC) transplant therapy candidate currently in preclinical development for the treatment of corneal endothelial disease, with applicable indications expected to include Fuchs Endothelial Corneal Dystrophy (FECD) and Bullous Keratopathy. </w:t>
      </w:r>
    </w:p>
    <w:p>
      <w:pPr>
        <w:pStyle w:val="TextBody"/>
        <w:bidi w:val="0"/>
        <w:spacing w:before="0" w:after="120"/>
        <w:jc w:val="both"/>
        <w:rPr>
          <w:color w:val="000000"/>
        </w:rPr>
      </w:pPr>
      <w:r>
        <w:rPr>
          <w:color w:val="000000"/>
        </w:rPr>
        <w:t>•</w:t>
      </w:r>
    </w:p>
    <w:p>
      <w:pPr>
        <w:pStyle w:val="TextBody"/>
        <w:bidi w:val="0"/>
        <w:spacing w:before="0" w:after="120"/>
        <w:jc w:val="both"/>
        <w:rPr/>
      </w:pPr>
      <w:r>
        <w:rPr>
          <w:rFonts w:ascii="Times New Roman" w:hAnsi="Times New Roman"/>
          <w:i/>
          <w:color w:val="000000"/>
          <w:sz w:val="20"/>
        </w:rPr>
        <w:t xml:space="preserve">ILT1, </w:t>
      </w:r>
      <w:r>
        <w:rPr>
          <w:rFonts w:ascii="Times New Roman" w:hAnsi="Times New Roman"/>
          <w:color w:val="000000"/>
          <w:sz w:val="20"/>
        </w:rPr>
        <w:t>a pluripotent cell manufacturing initiative,</w:t>
      </w:r>
      <w:r>
        <w:rPr>
          <w:color w:val="000000"/>
        </w:rPr>
        <w:t xml:space="preserve"> </w:t>
      </w:r>
      <w:r>
        <w:rPr>
          <w:rFonts w:ascii="Times New Roman" w:hAnsi="Times New Roman"/>
          <w:color w:val="000000"/>
          <w:sz w:val="20"/>
        </w:rPr>
        <w:t>intended to support the large-scale production of undifferentiated pluripotent cells, which if successful at a large scale, and together with an islet cell differentiation protocol, could support cell transplant treatment candidate for Type 1 Diabetes (T1D).</w:t>
      </w:r>
    </w:p>
    <w:p>
      <w:pPr>
        <w:pStyle w:val="TextBody"/>
        <w:bidi w:val="0"/>
        <w:spacing w:before="0" w:after="120"/>
        <w:jc w:val="both"/>
        <w:rPr>
          <w:color w:val="000000"/>
        </w:rPr>
      </w:pPr>
      <w:r>
        <w:rPr>
          <w:color w:val="000000"/>
        </w:rPr>
        <w:t>•</w:t>
      </w:r>
    </w:p>
    <w:p>
      <w:pPr>
        <w:pStyle w:val="TextBody"/>
        <w:bidi w:val="0"/>
        <w:spacing w:before="0" w:after="120"/>
        <w:jc w:val="both"/>
        <w:rPr/>
      </w:pPr>
      <w:r>
        <w:rPr>
          <w:rFonts w:ascii="Times New Roman" w:hAnsi="Times New Roman"/>
          <w:i/>
          <w:color w:val="000000"/>
          <w:sz w:val="20"/>
        </w:rPr>
        <w:t>RND1,</w:t>
      </w:r>
      <w:r>
        <w:rPr>
          <w:color w:val="000000"/>
        </w:rPr>
        <w:t xml:space="preserve"> </w:t>
      </w:r>
      <w:r>
        <w:rPr>
          <w:rFonts w:ascii="Times New Roman" w:hAnsi="Times New Roman"/>
          <w:color w:val="000000"/>
          <w:sz w:val="20"/>
        </w:rPr>
        <w:t>a novel hypoimmune induced pluripotent stem cell line being evaluated under a gene editing partnership with Factor Biosciences Limited (Factor) for the development of a cell transplant candidate for the potential treatment of an undisclosed indication.</w:t>
      </w:r>
    </w:p>
    <w:p>
      <w:pPr>
        <w:pStyle w:val="TextBody"/>
        <w:bidi w:val="0"/>
        <w:spacing w:before="0" w:after="0"/>
        <w:jc w:val="both"/>
        <w:rPr>
          <w:color w:val="000000"/>
        </w:rPr>
      </w:pPr>
      <w:r>
        <w:rPr>
          <w:color w:val="000000"/>
        </w:rPr>
        <w:t>•</w:t>
      </w:r>
    </w:p>
    <w:p>
      <w:pPr>
        <w:pStyle w:val="TextBody"/>
        <w:bidi w:val="0"/>
        <w:jc w:val="both"/>
        <w:rPr/>
      </w:pPr>
      <w:r>
        <w:rPr>
          <w:rFonts w:ascii="Times New Roman" w:hAnsi="Times New Roman"/>
          <w:i/>
          <w:color w:val="000000"/>
          <w:sz w:val="20"/>
        </w:rPr>
        <w:t>PNC1</w:t>
      </w:r>
      <w:r>
        <w:rPr>
          <w:rFonts w:ascii="Times New Roman" w:hAnsi="Times New Roman"/>
          <w:color w:val="000000"/>
          <w:sz w:val="20"/>
        </w:rPr>
        <w:t xml:space="preserve">, an allogeneic photoreceptor cell therapy research initiative for the potential treatment of vision loss due to photoreceptor dysfunction or damage.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additional information regarding our clinical programs, business strategy, AlloSCOPE platform, pipeline of preclinical programs and research initiatives, our collaborations and the grants we have received from governmental entities, see Item 1. Business in Part I of the 2025 10-K.</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Recent Events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Set forth below is a discussion of recent events and developments relating to our business. The following discussion should be read in conjunction with the description of our business set forth in Item 1. Business in Part I of the 2025 10-K.</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OpRegen Program for Dry-AMD with Geographic Atrophy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OpRegen is currently being evaluated by Roche and Genentech in a Phase 2a multicenter clinical trial in patients with GA secondary to dry-AMD, the “GAlette” study, which is currently enrolling up to 60 patients at 17 clinical sites across the U.S. and Israel. Our earlier Lineage-sponsored Phase 1/2a study has completed enrollment; we continue to perform certain closeout, data analysis, and manufacturing and process development activities under the Roche Agreement related to that study.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May 2026, Roche and Genentech presented data from the Phase 1/2a study at Foundation Fighting Blindness’ Retinal Therapeutics Innovation Summit 2026. Highlights include that (i) gains in best corrected visual acuity (BCVA) in patients in Cohort 4 (less advanced GA than in other cohorts) measured at month 12 remain evident through month 36; (ii) improvement in BCVA and outer retinal structure in patients with extensive OpRegen bleb coverage of their GA area was greater than in patients with limited coverage and persisted through month 36; (iii) in those patients who received extensive coverage of OpRegen cell therapy across their GA lesion (n=5), the mean change in BCVA was +9.0 letters for those completing 3-year follow-up (compared to +7.4 letters at 24 months) (Early Treatment Diabetic Retinopathy Study (ETDRS) assessment) and (iv) quantitative analysis of OCT imaging suggest evidence of partial restoration of the retina, including re-appearance of an RPE layer and features associated with recovery of photoreceptors.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previously reported, in the Phase 1/2a study, OpRegen has demonstrated the potential to slow, stop or reverse disease progression in GA secondary to AMD and these results, which were present at 12 months, have persisted through 24 and 36 months following a single administration of OpRegen. The Phase 1/2a study was an open-label, single-arm, multicenter, dose-escalation trial evaluating a single administration of OpRegen, the investigational product was delivered subretinally in patients with bilateral GA. Patient enrollment completed in November 2020, with 24 patients recruited into four cohorts. The first three cohorts enrolled only legally blind patients with a BCVA of 20/200 or worse. Cohort 4 enrolled 12 patients with impaired vision (BCVA from 20/65 to 20/250 with smaller mean areas of GA). Cohort 4 also included patients treated with a new “thaw-and-inject” formulation of OpRegen, which could be shipped directly to sites and used immediately upon thawing. The primary objective of the study was to evaluate the safety and tolerability of OpRegen as assessed by the incidence and frequency of treatment-emergent adverse events. Secondary objectives evaluated the preliminary activity of OpRegen treatment by assessing the changes in ophthalmological parameters measured by various methods of primary clinical relevance. Long-term follow-up of patients in this study is currently ongoing.</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OPC1 Program for Spinal Cord Injury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March 2026, the second chronic SCI participant with neurologically complete SCI injury was treated in the DOSED (Delivery of Oligodendrocyte Progenitor Cells for Spinal Cord Injury: Evaluation of a Novel Device) study at UC San Diego Health, and the novel delivery system successfully administered a one-time injection of OPC1. Our DOSED clinical study will evaluate the safety and utility </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of a novel spinal cord delivery device designed to administer OPC1 to the spinal parenchyma in both subacute (between 21 to 42 days following injury) and chronic (between 1 to 5 years following injury) spinal cord injury.</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ReSonance Program for Hearing Loss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second most advanced internally owned product candidate is ReSonance (ANP1), an allogeneic auditory neuron progenitor cell transplant, currently in preclinical development for the treatment of sensorineural hearing loss. In August 2025, we announced that we entered into a research collaboration agreement with WDI to advance the preclinical development of ReSonance for the treatment of hearing loss. Under that collaboration agreement, WDI agreed to fund up to $12 million in research collaboration costs over the approximate three-year term of the agreement, a portion of which has been expended to date to support the activities described below. The main objective of the agreement is for the parties to complete a preclinical phase achieving readiness to potentially progress to human clinical trials under one or more separate clinical agreements, the terms of which would be negotiated in good faith before the expiration of the agreement. Development activities are being jointly conducted and managed by Lineage and scientists from Eriksholm Research Centre, part of Oticon A/S, which is a subsidiary of the Demant Group. We have successfully completed 3 engineering manufacturing runs, with preparations underway for internal technology transfer to our cGMP team. We have also established a novel model of deafening to support ReSonance functional preclinical testing under the collaboration. See Note 13 (Commitments and Contingencies—Collaborations—WDI Collaboration) to our condensed consolidated interim financial statements included in this report for additional information.</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COR1 Program for Corneal Endothelial Disease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March 2026, we announced the launch of our newest cell therapy program, COR1, a corneal endothelial cell (CEnC) therapy in preclinical testing for the treatment of corneal endothelial disease, including Fuchs’ corneal dystrophy. Fuchs’ corneal dystrophy is a progressive, often hereditary condition where cells on the inner layer of the cornea die, causing cornea swelling and vision loss. In the advanced setting, DMEK (Descemet’s membrane endothelial keratoplasty) is a surgical option consisting of replacing the diseased cells with a donor graft, often leading to improved vision. COR1 is an internally-developed and wholly-owned asset, which we believe can benefit from our ophthalmology and manufacturing expertise.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Millions of people are potential candidates for corneal transplants for which today there is only one donor for every 70 diseased eyes globally. The current supply of CEnC’s from cadaveric sources is further limited by the low availability of organ donors, as well as by inconsistent yield and quality CEnC therapy from cadaveric sources has already been approved in Japan to treat corneal endothelial disease, providing evidence for the underlying mechanism of action. The cornea is a relatively accessible site for transplantation, with a simple injection-based delivery method and a long clinical track record from donor-based procedures. In addition, the eye offers a degree of immune privilege, potentially reducing the risk of immune rejection.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COR1 program targets an area where the current fundamental limitation is the supply and shelf life of material, as existing approved CEnC transplant therapy relies heavily on cadaveric tissue donors with variable yield, quality, and durability. This imbalance highlights the need for a reliable, consistent, and scalable source of cells. Importantly, the unmet need is significant and CEnC transplant therapy is already clinically validated, with preclinical models, endpoints, and clinical and regulatory precedents, which are well-established.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Utilizing our AlloSCOPE platform, we are manufacturing CEnCs with identity, morphological, and functional characteristics that meet initial internal criteria and support further development. We plan to advance this program into translational models to support human testing. Applicable indications for COR1 are expected to include Fuchs Endothelial Corneal Dystrophy (FECD) and Bullous Keratopathy. FECD is a primary progressive genetic disorder characterized by bilateral, slow-progressing dysfunction which as of 2022, affects about 7.3% of adults over the age of 30 globally, with a projected affected patient population expected to rise to approximately 415 million by 2050.</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Islet Cell Transplant Manufacturing Initiative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September 2025, we announced the launch of ILT1, a new manufacturing initiative employing AlloSCOPE 5D platform technology. AlloSCOPE 5D describes an application of AlloSCOPE with the goal of higher scale production of pre-differentiated cells with reduced manipulation and passaging. ILT1 is initially focused on addressing the challenges of large-scale production of highly synchronized pluripotent cells, and which if successful at a large scale, could thereafter be applied, together with an islet cell differentiation protocol, to support the production of allogeneic islet cells for a potential treatment for Type 1 Diabetes (T1D). This initiative is focused initially on expanding our existing AlloSCOPE platform to become capable of significantly greater production of undifferentiated pluripotent cells than our current capability, with the overall goal of establishing a production modality that can support an islet cell production process from expansion through differentiation in a dynamic culturing system, and which if successful, could potentially solve a major hurdle to production and commercialization of an islet cell therapy product candidate. </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During the first quarter of 2026, we successfully met our first milestone for our ILT1 manufacturing initiative, demonstrating a highly scalable and fully suspension-based process for generating undifferentiated pluripotent cells using one of our proprietary and in house cell lines. This initial work was successful at 0.5 liter scale and supports further development into a larger multi-liter format. If successful at larger scale, we may seek to demonstrate AlloSCOPE 5D scalability with one or more internal or partner-sourced hypo-immune or non hypo-immune cell lines, suitable to support potential islet cell differentiation and preclinical testing. We additionally may seek to apply insights and process improvements we have learned or may learn through this process to other cell transplant programs, including programs we may launch in the future.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Other Programs and Technologies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pluripotent cells underlying our platform are by definition, capable of becoming any cell type of the human body. In some cases, pursuing the development of cell therapies for which a biological precedent exists may enable faster development of future product candidates underlying our platform and pipeline. We therefore maintain a list of additional potential product candidates which we may consider for development or partnership in the future, and which altogether cover a range of therapeutic areas and conditions. Generally, we expect that these potential product candidates will be based on the same AlloSCOPE platform technology and would employ a similar guided cell differentiation and transplant approach as our current product candidates, and in some cases may also include genetic modifications designed to enhance efficacy and/or safety profiles.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Israeli Regional Conflict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All of our manufacturing processes, including cell banking and product manufacturing for our cell therapy product candidates, are conducted by our subsidiary, CCN, at its facility in Jerusalem, Israel, and more than two-thirds of our workforce are CCN employees based in that facility. In addition, certain of the clinical trial sites for the OpRegen GAlette study are in Israel.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recent escalation of conflict and hostilities in the Middle East—including the strikes by Israel and the United States on Iran that began on February 28, 2026 and the retaliatory attacks thereto— has increased the risk of broader regional military escalation, cyberattacks, disruptions to transportation and logistics infrastructure, interruption of utility and communications services, and other events that could directly disrupt our operations in Jerusalem and the clinical trial sites for the OpRegen GAlette study in Israel. As of the date of the filing of this report, our operations in Jerusalem have not been materially or adversely disrupted, and we are not aware of any material disruption to the clinical trial sites for the OpRegen GAlette study in Israel. The situation continues to rapidly evolve, and it is currently not possible to predict the scope, duration or severity of present or future regional instability or its effects on our operations in Jerusalem or on the clinical trial sites for the OpRegen GAlette study in Israel. See the risk factor in Item 1A. Risk Factors in Part I of the 2025 10-K titled, “All of our manufacturing operations currently are conducted at our facility in Jerusalem, Israel. Accordingly, political and economic conditions in Israel and war, cyberattacks, terrorist attacks or other armed conflicts involving Israel and the broader region could directly affect our business. Any event or condition that significantly disrupts our ordinary course of operations at our Jerusalem facility could harm our business and materially and adversely affect our financial condition and operating results.”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a result of safety concerns and in response to government-imposed restrictions on movement and travel and other precautions taken to address the Israeli regional conflict that began in October 2023, our operations at our CCN facility in Jerusalem were temporarily impacted in the past. In light of the recent escalation of hostilities and conflict in the Middle East, we expect that similar government-imposed restrictions on movement and travel and other precautions will be implemented, which could materially and adversely affect the operations at our Jerusalem facility. Further, a number of our CCN employees in Israel are members of the military reserves and subject to immediate call-up in response to regional instability. Male Israeli citizens are obligated to perform several days, and in some cases more, of annual military reserve duty each year until they reach the age of 40 (or older, for reservists who are military officers or who have certain occupations) and, in the event of a military conflict, may be called to active duty. Several employees in Israel, including CCN’s chief executive officer, were activated for military duty in the past, and they and other employees may be activated for military duty in the future, particularly in light of the recent escalation of hostilities and conflict in the Middle East, which could disrupt our operations. In addition, the general impact on employees operating in a region of conflict could adversely impact our operations. Although we have business continuity plans in place to address medium- or long-term disruptions that could result from regional instability, those plans are limited and do not account for every possible scenario, and in addition, any long-term closure of our CCN facility, or if that facility were damaged, or if hostilities otherwise disrupt the ongoing operations at that facility, or if a meaningful number of employees are unable to work for significant portions of time, our operations would be materially and adversely impacted.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commercial insurance may not cover losses that may occur as a result of events associated with war and terrorism. Although the Israeli government currently covers the reinstatement value of direct damages that are caused by terrorist attacks or acts of war, we cannot assure that this government coverage will be maintained or that it will sufficiently cover our potential damages. Any losses or damages incurred by us could have a material adverse effect on our business.</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Macroeconomic, Political, and Regulatory Environment Considerations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business, financial condition, operating results, stock price, and our ability to raise additional capital may be adversely affected by evolving macroeconomic, political, and regulatory developments and conditions, such as inflation, trade disruptions and restrictive measures, including tariffs, high interest rates, slowed economic growth or recession, uncertainty with respect to the federal budget and debt ceiling, potential or prolonged U.S. government shutdowns, volatility in financial markets, liquidity concerns at financial institutions, supply chain disruptions, changes in the regulatory landscape in the U.S., including due to significant reductions in funding and staffing of federal agencies and changes in leadership, and geopolitical factors. Further, third parties with whom we have business relationships, including clinical investigative sites, financial institutions, and our collaborators, may be adversely affected by the foregoing risks, which could directly impact our ability to achieve our operating goals within planned timelines and budgets.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there may be significant future effects on the pharmaceutical and biopharmaceutical industries as a result of federal policy and regulatory changes under the current U.S. presidential administration, including in areas relating to regulatory framework and oversight, research and development funding, drug pricing reform, global trade policy and tariffs, and others. U.S. federal government initiatives have resulted in significant reductions in staffing levels at the FDA and other governmental agencies. The foregoing could impact agencies’ ability to retain remaining key personnel and hire additional personnel, which may disrupt their ability to perform routine activities or function in the normal course. For example, with respect to the FDA, this may result in delays or limitations on our ability to obtain guidance from agency staff and slow review times for applications we submit with respect to clinical studies, any of which could negatively impact the cost and timelines for developing and obtaining regulatory approval of our product candidates. Moreover, the current U.S. presidential administration has taken and may take additional future actions to freeze or reduce federal funding for medical research, which could decrease the ability of facilities that rely on such funding to conduct clinical trials or increase the costs to us of conducting clinical trials at those facilities. Given the high level of uncertainty regarding federal policy, enforcement and regulatory changes, and that circumstances are rapidly evolving, we cannot reasonably predict the potential impact on our business at this time. </w:t>
      </w:r>
    </w:p>
    <w:p>
      <w:pPr>
        <w:pStyle w:val="TextBody"/>
        <w:bidi w:val="0"/>
        <w:spacing w:before="360" w:after="283"/>
        <w:jc w:val="both"/>
        <w:rPr>
          <w:rFonts w:ascii="Times New Roman" w:hAnsi="Times New Roman"/>
          <w:sz w:val="20"/>
        </w:rPr>
      </w:pPr>
      <w:r>
        <w:rPr>
          <w:rFonts w:ascii="Times New Roman" w:hAnsi="Times New Roman"/>
          <w:b/>
          <w:color w:val="000000"/>
          <w:sz w:val="20"/>
        </w:rPr>
        <w:t>Critical Accounting Policies and Estimates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 accounting policy is deemed critical if it requires an accounting estimate to be made based on assumptions about matters that are highly uncertain at the time the estimate is made, if different estimates reasonably could have been used, or if changes in the estimate that are reasonably likely to occur could materially impact the financial statements. See the discussion under the Critical Accounting Estimates heading in Part II, Item 7. Management’s Discussion and Analysis of Financial Condition and Result of Operations in the 2025 10-K and our audited financial statements and notes thereto for the year ended December 31, 2025 in Part II, Item 8 of the 2025 10-K for accounting policies and related estimates we believe are the most critical to understanding our condensed consolidated interim financial statements, financial condition and results of operations and which require complex management judgment and assumptions or involve uncertainties. The estimates and judgments involved in our accounting policies as described in our audited financial statements and notes thereto for the year ended December 31, 2025, continue to be our critical accounting policies and there have been no material changes to our critical accounting policies during the three months ended March 31, 2026.</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Comparison of Three Months Ended March 31, 2026 and 2025</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Revenues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shows our revenues for the periods presented (amounts in thousands except percentages):</w:t>
      </w:r>
    </w:p>
    <w:p>
      <w:pPr>
        <w:pStyle w:val="TextBody"/>
        <w:bidi w:val="0"/>
        <w:jc w:val="both"/>
        <w:rPr/>
      </w:pPr>
      <w:r>
        <w:rPr/>
        <w:t> </w:t>
      </w:r>
    </w:p>
    <w:tbl>
      <w:tblPr>
        <w:tblW w:w="8068" w:type="dxa"/>
        <w:jc w:val="left"/>
        <w:tblInd w:w="0" w:type="dxa"/>
        <w:tblLayout w:type="fixed"/>
        <w:tblCellMar>
          <w:top w:w="28" w:type="dxa"/>
          <w:left w:w="28" w:type="dxa"/>
          <w:bottom w:w="28" w:type="dxa"/>
          <w:right w:w="28" w:type="dxa"/>
        </w:tblCellMar>
      </w:tblPr>
      <w:tblGrid>
        <w:gridCol w:w="3136"/>
        <w:gridCol w:w="146"/>
        <w:gridCol w:w="272"/>
        <w:gridCol w:w="738"/>
        <w:gridCol w:w="188"/>
        <w:gridCol w:w="188"/>
        <w:gridCol w:w="272"/>
        <w:gridCol w:w="738"/>
        <w:gridCol w:w="146"/>
        <w:gridCol w:w="146"/>
        <w:gridCol w:w="288"/>
        <w:gridCol w:w="582"/>
        <w:gridCol w:w="166"/>
        <w:gridCol w:w="146"/>
        <w:gridCol w:w="916"/>
      </w:tblGrid>
      <w:tr>
        <w:trPr/>
        <w:tc>
          <w:tcPr>
            <w:tcW w:w="31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w:t>
              <w:br/>
              <w:t>Increase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w:t>
              <w:br/>
              <w:t>Increase</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(Decrease)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(Decrease)</w:t>
            </w:r>
          </w:p>
        </w:tc>
      </w:tr>
      <w:tr>
        <w:trPr/>
        <w:tc>
          <w:tcPr>
            <w:tcW w:w="3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Collaboration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1,575</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24%</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Royalties, license and other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(35)%</w:t>
            </w:r>
          </w:p>
        </w:tc>
      </w:tr>
      <w:tr>
        <w:trPr/>
        <w:tc>
          <w:tcPr>
            <w:tcW w:w="31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1,725</w:t>
            </w:r>
          </w:p>
        </w:tc>
        <w:tc>
          <w:tcPr>
            <w:tcW w:w="1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w:t>
            </w:r>
          </w:p>
        </w:tc>
      </w:tr>
    </w:tbl>
    <w:p>
      <w:pPr>
        <w:pStyle w:val="TextBody"/>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For the three months ended March 31, 2026, the $0.2 million increase in total revenues as compared to the prior year was primarily attributable to a $0.3 million increase in collaboration revenues, partially offset by a decrease of approximately $0.1 million in royalty revenue. The $0.3 million increase in collaboration revenues was primarily driven by the revenue received under our research collaboration agreement with WDI.</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Collaboration revenues may fluctuate from period to period based on changes in estimated costs to support the performance obligations. Under the collaboration agreements with Roche and WDI, delivery of goods and services is determined to be over time and </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revenue is recognized utilizing an input method of costs incurred over total estimated costs to complete the performance obligation. See Note 3 (Revenue) to our condensed consolidated interim financial statements included in this report for additional information.</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Operating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operating expenses generally consist of cost of royalties, research and development expenses, and general and administrative expenses.</w:t>
      </w:r>
    </w:p>
    <w:p>
      <w:pPr>
        <w:pStyle w:val="TextBody"/>
        <w:bidi w:val="0"/>
        <w:spacing w:before="240" w:after="283"/>
        <w:jc w:val="both"/>
        <w:rPr>
          <w:rFonts w:ascii="Times New Roman" w:hAnsi="Times New Roman"/>
          <w:sz w:val="20"/>
        </w:rPr>
      </w:pPr>
      <w:r>
        <w:rPr>
          <w:rFonts w:ascii="Times New Roman" w:hAnsi="Times New Roman"/>
          <w:color w:val="000000"/>
          <w:sz w:val="20"/>
          <w:u w:val="single"/>
        </w:rPr>
        <w:t>Cost of royalties</w:t>
      </w:r>
      <w:r>
        <w:rPr>
          <w:rFonts w:ascii="Times New Roman" w:hAnsi="Times New Roman"/>
          <w:color w:val="000000"/>
          <w:sz w:val="20"/>
        </w:rPr>
        <w:t>. These expenses consist of costs associated with royalty revenue which has resulted from product sales by our sublicensees.</w:t>
      </w:r>
    </w:p>
    <w:p>
      <w:pPr>
        <w:pStyle w:val="TextBody"/>
        <w:bidi w:val="0"/>
        <w:spacing w:before="240" w:after="283"/>
        <w:jc w:val="both"/>
        <w:rPr>
          <w:rFonts w:ascii="Times New Roman" w:hAnsi="Times New Roman"/>
          <w:sz w:val="20"/>
        </w:rPr>
      </w:pPr>
      <w:r>
        <w:rPr>
          <w:rFonts w:ascii="Times New Roman" w:hAnsi="Times New Roman"/>
          <w:color w:val="000000"/>
          <w:sz w:val="20"/>
          <w:u w:val="single"/>
        </w:rPr>
        <w:t>Research and development expenses</w:t>
      </w:r>
      <w:r>
        <w:rPr>
          <w:rFonts w:ascii="Times New Roman" w:hAnsi="Times New Roman"/>
          <w:color w:val="000000"/>
          <w:sz w:val="20"/>
        </w:rPr>
        <w:t>. These expenses consist of costs incurred for company-sponsored, collaborative and contracted research and development activities. These costs include direct expenses and indirect research-related overhead expenses including compensation and related benefits, stock-based compensation, consulting fees, research and laboratory fees, rent of research facilities, amortization of intangible assets, and license fees paid to third parties to acquire patents or licenses to use patents and other technology. Research and development costs with no future benefit or alternative use are expensed as incurred. Research and development expenses incurred and reimbursed by grants from third parties approximate the grant income recognized in our condensed consolidated statements of operations. Royalties and sublicensing fees are recorded as research and development expenses, unless they are associated with product royalties, which we classify as cost of royalties in our condensed consolidated statements of operations. We expect our total research and development expenses to fluctuate each reporting period based on several factors including (i) the stage of development for each cell therapy program, (ii) the availability of resources to work on each program, and (iii) the timing of contractual obligations.</w:t>
      </w:r>
    </w:p>
    <w:p>
      <w:pPr>
        <w:pStyle w:val="TextBody"/>
        <w:bidi w:val="0"/>
        <w:spacing w:before="240" w:after="283"/>
        <w:jc w:val="both"/>
        <w:rPr>
          <w:rFonts w:ascii="Times New Roman" w:hAnsi="Times New Roman"/>
          <w:sz w:val="20"/>
        </w:rPr>
      </w:pPr>
      <w:r>
        <w:rPr>
          <w:rFonts w:ascii="Times New Roman" w:hAnsi="Times New Roman"/>
          <w:color w:val="000000"/>
          <w:sz w:val="20"/>
          <w:u w:val="single"/>
        </w:rPr>
        <w:t>General and administrative expenses</w:t>
      </w:r>
      <w:r>
        <w:rPr>
          <w:rFonts w:ascii="Times New Roman" w:hAnsi="Times New Roman"/>
          <w:color w:val="000000"/>
          <w:sz w:val="20"/>
        </w:rPr>
        <w:t>. These expenses consist of employee and director compensation and related benefits, including stock-based compensation, professional and consulting fees, and allocated overhead such as facilities rent and equipment rent and maintenance, insurance costs allocated to general and administrative expenses, costs of patent applications, prosecution and maintenance, stock exchange-related costs, depreciation expense, marketing costs, legal and accounting costs, and other miscellaneous expenses.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shows our operating expenses for the periods presented (amounts in thousands, except percentages):</w:t>
      </w:r>
    </w:p>
    <w:p>
      <w:pPr>
        <w:pStyle w:val="TextBody"/>
        <w:bidi w:val="0"/>
        <w:jc w:val="both"/>
        <w:rPr/>
      </w:pPr>
      <w:r>
        <w:rPr/>
        <w:t> </w:t>
      </w:r>
    </w:p>
    <w:tbl>
      <w:tblPr>
        <w:tblW w:w="7243" w:type="dxa"/>
        <w:jc w:val="left"/>
        <w:tblInd w:w="0" w:type="dxa"/>
        <w:tblLayout w:type="fixed"/>
        <w:tblCellMar>
          <w:top w:w="28" w:type="dxa"/>
          <w:left w:w="28" w:type="dxa"/>
          <w:bottom w:w="28" w:type="dxa"/>
          <w:right w:w="28" w:type="dxa"/>
        </w:tblCellMar>
      </w:tblPr>
      <w:tblGrid>
        <w:gridCol w:w="2311"/>
        <w:gridCol w:w="146"/>
        <w:gridCol w:w="272"/>
        <w:gridCol w:w="738"/>
        <w:gridCol w:w="188"/>
        <w:gridCol w:w="188"/>
        <w:gridCol w:w="272"/>
        <w:gridCol w:w="738"/>
        <w:gridCol w:w="146"/>
        <w:gridCol w:w="146"/>
        <w:gridCol w:w="234"/>
        <w:gridCol w:w="636"/>
        <w:gridCol w:w="166"/>
        <w:gridCol w:w="146"/>
        <w:gridCol w:w="916"/>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w:t>
              <w:br/>
              <w:t>Increase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w:t>
              <w:br/>
              <w:t>Increase</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(Decrease)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(Decrease)</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royalties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4,234</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36%</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5,084</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5%</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9,318</w:t>
            </w:r>
          </w:p>
        </w:tc>
        <w:tc>
          <w:tcPr>
            <w:tcW w:w="188"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8,007</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1,311</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16%</w:t>
            </w:r>
          </w:p>
        </w:tc>
      </w:tr>
    </w:tbl>
    <w:p>
      <w:pPr>
        <w:pStyle w:val="TextBody"/>
        <w:bidi w:val="0"/>
        <w:jc w:val="both"/>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shows the amount of our total research and development expenses allocated to our product candidates and potential product candidates for the periods presented (amounts in thousands, except percentages):</w:t>
      </w:r>
    </w:p>
    <w:p>
      <w:pPr>
        <w:pStyle w:val="TextBody"/>
        <w:bidi w:val="0"/>
        <w:jc w:val="both"/>
        <w:rPr/>
      </w:pPr>
      <w:r>
        <w:rPr/>
        <w:t> </w:t>
      </w:r>
    </w:p>
    <w:tbl>
      <w:tblPr>
        <w:tblW w:w="7857" w:type="dxa"/>
        <w:jc w:val="left"/>
        <w:tblInd w:w="0" w:type="dxa"/>
        <w:tblLayout w:type="fixed"/>
        <w:tblCellMar>
          <w:top w:w="28" w:type="dxa"/>
          <w:left w:w="28" w:type="dxa"/>
          <w:bottom w:w="28" w:type="dxa"/>
          <w:right w:w="28" w:type="dxa"/>
        </w:tblCellMar>
      </w:tblPr>
      <w:tblGrid>
        <w:gridCol w:w="3596"/>
        <w:gridCol w:w="146"/>
        <w:gridCol w:w="211"/>
        <w:gridCol w:w="571"/>
        <w:gridCol w:w="146"/>
        <w:gridCol w:w="146"/>
        <w:gridCol w:w="211"/>
        <w:gridCol w:w="571"/>
        <w:gridCol w:w="146"/>
        <w:gridCol w:w="146"/>
        <w:gridCol w:w="146"/>
        <w:gridCol w:w="421"/>
        <w:gridCol w:w="271"/>
        <w:gridCol w:w="146"/>
        <w:gridCol w:w="146"/>
        <w:gridCol w:w="421"/>
        <w:gridCol w:w="416"/>
      </w:tblGrid>
      <w:tr>
        <w:trPr/>
        <w:tc>
          <w:tcPr>
            <w:tcW w:w="3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3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9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 of Total</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OpRegen</w:t>
            </w: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OPC1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ReSonance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ILT1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RND1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programs and non-program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4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5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4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spacing w:before="40" w:after="283"/>
        <w:jc w:val="both"/>
        <w:rPr>
          <w:rFonts w:ascii="Times New Roman" w:hAnsi="Times New Roman"/>
          <w:sz w:val="20"/>
        </w:rPr>
      </w:pPr>
      <w:r>
        <w:rPr>
          <w:rFonts w:ascii="Times New Roman" w:hAnsi="Times New Roman"/>
          <w:color w:val="000000"/>
          <w:sz w:val="20"/>
          <w:u w:val="single"/>
        </w:rPr>
        <w:t>Research and development expenses.</w:t>
      </w:r>
      <w:r>
        <w:rPr>
          <w:rFonts w:ascii="Times New Roman" w:hAnsi="Times New Roman"/>
          <w:color w:val="000000"/>
          <w:sz w:val="20"/>
        </w:rPr>
        <w:t xml:space="preserve"> For the three months ended March 31, 2026, the $1.1 million increase in total research and development expenses as compared to the prior year was primarily driven by $0.3 million for our OPC1 program, $0.2 million for our ReSonance program, and approximately $0.7 million for our preclinical and other undisclosed programs.</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0"/>
          <w:u w:val="single"/>
        </w:rPr>
        <w:t>General and administrative expenses.</w:t>
      </w:r>
      <w:r>
        <w:rPr>
          <w:rFonts w:ascii="Times New Roman" w:hAnsi="Times New Roman"/>
          <w:color w:val="000000"/>
          <w:sz w:val="20"/>
        </w:rPr>
        <w:t xml:space="preserve"> For the three months ended March 31, 2026, the $0.2 million increase in general and administrative expenses as compared to the prior year was primarily attributable to a $0.4 million increase in personnel costs, partially offset by services provided by third parties.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Other Income and Expenses, Net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shows the amount of other income (expenses), net, for the periods presented (in thousands):</w:t>
      </w:r>
    </w:p>
    <w:p>
      <w:pPr>
        <w:pStyle w:val="TextBody"/>
        <w:bidi w:val="0"/>
        <w:jc w:val="both"/>
        <w:rPr/>
      </w:pPr>
      <w:r>
        <w:rPr/>
        <w:t> </w:t>
      </w:r>
    </w:p>
    <w:tbl>
      <w:tblPr>
        <w:tblW w:w="9748" w:type="dxa"/>
        <w:jc w:val="left"/>
        <w:tblInd w:w="0" w:type="dxa"/>
        <w:tblLayout w:type="fixed"/>
        <w:tblCellMar>
          <w:top w:w="28" w:type="dxa"/>
          <w:left w:w="28" w:type="dxa"/>
          <w:bottom w:w="28" w:type="dxa"/>
          <w:right w:w="28" w:type="dxa"/>
        </w:tblCellMar>
      </w:tblPr>
      <w:tblGrid>
        <w:gridCol w:w="4016"/>
        <w:gridCol w:w="146"/>
        <w:gridCol w:w="272"/>
        <w:gridCol w:w="738"/>
        <w:gridCol w:w="188"/>
        <w:gridCol w:w="188"/>
        <w:gridCol w:w="272"/>
        <w:gridCol w:w="738"/>
        <w:gridCol w:w="166"/>
        <w:gridCol w:w="146"/>
        <w:gridCol w:w="404"/>
        <w:gridCol w:w="811"/>
        <w:gridCol w:w="166"/>
        <w:gridCol w:w="146"/>
        <w:gridCol w:w="1351"/>
      </w:tblGrid>
      <w:tr>
        <w:trPr/>
        <w:tc>
          <w:tcPr>
            <w:tcW w:w="40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r>
      <w:tr>
        <w:trPr/>
        <w:tc>
          <w:tcPr>
            <w:tcW w:w="40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 Increase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 Increase</w:t>
            </w:r>
          </w:p>
        </w:tc>
      </w:tr>
      <w:tr>
        <w:trPr/>
        <w:tc>
          <w:tcPr>
            <w:tcW w:w="4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Other income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(Decrease)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rFonts w:ascii="Times New Roman" w:hAnsi="Times New Roman"/>
                <w:b/>
                <w:color w:val="000000"/>
                <w:sz w:val="16"/>
              </w:rPr>
            </w:pPr>
            <w:r>
              <w:rPr>
                <w:rFonts w:ascii="Times New Roman" w:hAnsi="Times New Roman"/>
                <w:b/>
                <w:color w:val="000000"/>
                <w:sz w:val="16"/>
              </w:rPr>
              <w:t>(Decrease)</w:t>
            </w:r>
          </w:p>
        </w:tc>
      </w:tr>
      <w:tr>
        <w:trPr/>
        <w:tc>
          <w:tcPr>
            <w:tcW w:w="40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(15)%</w:t>
            </w:r>
          </w:p>
        </w:tc>
      </w:tr>
      <w:tr>
        <w:trPr/>
        <w:tc>
          <w:tcPr>
            <w:tcW w:w="40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Gain (loss) on marketable equity securities,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580%</w:t>
            </w:r>
          </w:p>
        </w:tc>
      </w:tr>
      <w:tr>
        <w:trPr/>
        <w:tc>
          <w:tcPr>
            <w:tcW w:w="40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Change in fair value of warrant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2,324</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1%</w:t>
            </w:r>
          </w:p>
        </w:tc>
      </w:tr>
      <w:tr>
        <w:trPr/>
        <w:tc>
          <w:tcPr>
            <w:tcW w:w="40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Foreign currency transaction gain (loss),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122%</w:t>
            </w:r>
          </w:p>
        </w:tc>
      </w:tr>
      <w:tr>
        <w:trPr/>
        <w:tc>
          <w:tcPr>
            <w:tcW w:w="40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income (expenses),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center"/>
              <w:rPr>
                <w:rFonts w:ascii="Times New Roman" w:hAnsi="Times New Roman"/>
                <w:color w:val="000000"/>
                <w:sz w:val="20"/>
              </w:rPr>
            </w:pPr>
            <w:r>
              <w:rPr>
                <w:rFonts w:ascii="Times New Roman" w:hAnsi="Times New Roman"/>
                <w:color w:val="000000"/>
                <w:sz w:val="20"/>
              </w:rPr>
              <w:t>101%</w:t>
            </w:r>
          </w:p>
        </w:tc>
      </w:tr>
      <w:tr>
        <w:trPr/>
        <w:tc>
          <w:tcPr>
            <w:tcW w:w="401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other income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2,804</w:t>
            </w:r>
          </w:p>
        </w:tc>
        <w:tc>
          <w:tcPr>
            <w:tcW w:w="1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19%</w:t>
            </w:r>
          </w:p>
        </w:tc>
      </w:tr>
    </w:tbl>
    <w:p>
      <w:pPr>
        <w:pStyle w:val="TextBody"/>
        <w:bidi w:val="0"/>
        <w:jc w:val="both"/>
        <w:rPr/>
      </w:pPr>
      <w:r>
        <w:rPr/>
        <w:t> </w:t>
      </w:r>
    </w:p>
    <w:p>
      <w:pPr>
        <w:pStyle w:val="TextBody"/>
        <w:bidi w:val="0"/>
        <w:spacing w:before="40" w:after="283"/>
        <w:jc w:val="both"/>
        <w:rPr>
          <w:rFonts w:ascii="Times New Roman" w:hAnsi="Times New Roman"/>
          <w:sz w:val="20"/>
        </w:rPr>
      </w:pPr>
      <w:r>
        <w:rPr>
          <w:rFonts w:ascii="Times New Roman" w:hAnsi="Times New Roman"/>
          <w:color w:val="000000"/>
          <w:sz w:val="20"/>
          <w:u w:val="single"/>
        </w:rPr>
        <w:t>Interest income, net</w:t>
      </w:r>
      <w:r>
        <w:rPr>
          <w:rFonts w:ascii="Times New Roman" w:hAnsi="Times New Roman"/>
          <w:color w:val="000000"/>
          <w:sz w:val="20"/>
        </w:rPr>
        <w:t xml:space="preserve">. For the three months ended March 31, 2026, the decrease in interest income, net, was attributable to lower interest rates, despite higher average cash and marketable debt securities balances. </w:t>
      </w:r>
    </w:p>
    <w:p>
      <w:pPr>
        <w:pStyle w:val="TextBody"/>
        <w:bidi w:val="0"/>
        <w:spacing w:before="240" w:after="283"/>
        <w:jc w:val="both"/>
        <w:rPr>
          <w:rFonts w:ascii="Times New Roman" w:hAnsi="Times New Roman"/>
          <w:sz w:val="20"/>
        </w:rPr>
      </w:pPr>
      <w:r>
        <w:rPr>
          <w:rFonts w:ascii="Times New Roman" w:hAnsi="Times New Roman"/>
          <w:color w:val="000000"/>
          <w:sz w:val="20"/>
          <w:u w:val="single"/>
        </w:rPr>
        <w:t>Gain (loss) on marketable equity securities, net</w:t>
      </w:r>
      <w:r>
        <w:rPr>
          <w:rFonts w:ascii="Times New Roman" w:hAnsi="Times New Roman"/>
          <w:color w:val="000000"/>
          <w:sz w:val="20"/>
        </w:rPr>
        <w:t xml:space="preserve">. We expect our net gain or loss on marketable equity securities to fluctuate each reporting period based on the changes in the market price of marketable equity securities held by us, which could impact our net income or loss reported in our condensed consolidated statements of operations for a particular reporting period. These marketable equity securities are carried at fair market value on our condensed consolidated balance sheet. See Note 4 (Marketable Securities) to our condensed consolidated interim financial statements included in this report for additional information regarding our marketable equity securities. For the three months ended March 31, 2026 and 2025, the change in the values of our marketable equity securities was de minimis and primarily related to changes in the fair market value of such securities during the respective periods. </w:t>
      </w:r>
    </w:p>
    <w:p>
      <w:pPr>
        <w:pStyle w:val="TextBody"/>
        <w:bidi w:val="0"/>
        <w:spacing w:before="240" w:after="283"/>
        <w:jc w:val="both"/>
        <w:rPr>
          <w:rFonts w:ascii="Times New Roman" w:hAnsi="Times New Roman"/>
          <w:sz w:val="20"/>
        </w:rPr>
      </w:pPr>
      <w:r>
        <w:rPr>
          <w:rFonts w:ascii="Times New Roman" w:hAnsi="Times New Roman"/>
          <w:color w:val="000000"/>
          <w:sz w:val="20"/>
          <w:u w:val="single"/>
        </w:rPr>
        <w:t>Change in fair value of warrant liability</w:t>
      </w:r>
      <w:r>
        <w:rPr>
          <w:rFonts w:ascii="Times New Roman" w:hAnsi="Times New Roman"/>
          <w:color w:val="000000"/>
          <w:sz w:val="20"/>
        </w:rPr>
        <w:t>. The liability-classified warrants issued in connection with the November 2024 registered direct offering (“November 2024 RDO”) are valued at each reporting period end date while the warrants are outstanding, and at the time of each warrant exercise, using a Black-Scholes option pricing model that maximizes the use of observable inputs and minimizes the use of unobservable inputs to the extent possible. A significant increase or decrease in these inputs could result in significantly higher or lower fair value measurements. The changes in fair value of the liability-classified warrants are non-cash adjustments recorded in the condensed consolidated statements of operations and we expect this fair value to fluctuate each reporting period. For the three months ended March 31, 2026 and 2025, the change in the fair value of the warrants was primarily driven by a decrease in the Company’s common share price during these periods.</w:t>
      </w:r>
    </w:p>
    <w:p>
      <w:pPr>
        <w:pStyle w:val="TextBody"/>
        <w:bidi w:val="0"/>
        <w:spacing w:before="240" w:after="283"/>
        <w:jc w:val="both"/>
        <w:rPr>
          <w:rFonts w:ascii="Times New Roman" w:hAnsi="Times New Roman"/>
          <w:sz w:val="20"/>
        </w:rPr>
      </w:pPr>
      <w:r>
        <w:rPr>
          <w:rFonts w:ascii="Times New Roman" w:hAnsi="Times New Roman"/>
          <w:color w:val="000000"/>
          <w:sz w:val="20"/>
          <w:u w:val="single"/>
        </w:rPr>
        <w:t>Foreign currency transaction gain (loss), net</w:t>
      </w:r>
      <w:r>
        <w:rPr>
          <w:rFonts w:ascii="Times New Roman" w:hAnsi="Times New Roman"/>
          <w:color w:val="000000"/>
          <w:sz w:val="20"/>
        </w:rPr>
        <w:t>. Foreign currency transaction gain (loss), net primarily results from currency fluctuations applied to our subsidiary’s U.S. dollar-denominated intercompany balances with Lineage. The functional currency of our subsidiaries, CCN and ES Cell International Pte. Ltd. (“ESI”), is the Israeli New Shekel (“ILS”) and the Singapore Dollar (“SGD”), respectively. Foreign currency transaction gains and losses for the periods presented are principally related to the remeasurement of the U.S. dollar denominated notes payable and notes receivable between Lineage and its subsidiaries.</w:t>
      </w:r>
    </w:p>
    <w:p>
      <w:pPr>
        <w:pStyle w:val="TextBody"/>
        <w:bidi w:val="0"/>
        <w:spacing w:before="240" w:after="283"/>
        <w:jc w:val="both"/>
        <w:rPr>
          <w:rFonts w:ascii="Times New Roman" w:hAnsi="Times New Roman"/>
          <w:sz w:val="20"/>
        </w:rPr>
      </w:pPr>
      <w:r>
        <w:rPr>
          <w:rFonts w:ascii="Times New Roman" w:hAnsi="Times New Roman"/>
          <w:color w:val="000000"/>
          <w:sz w:val="20"/>
          <w:u w:val="single"/>
        </w:rPr>
        <w:t>Other income (expenses), net</w:t>
      </w:r>
      <w:r>
        <w:rPr>
          <w:rFonts w:ascii="Times New Roman" w:hAnsi="Times New Roman"/>
          <w:color w:val="000000"/>
          <w:sz w:val="20"/>
        </w:rPr>
        <w:t>. For the three months ended March 31, 2025, the Company recorded $0.2 million of other expense related to the allocated transaction costs for warrants issued in connection with the second closing of the November 2024 RDO in January 2025. There was no comparable expense incurred in the three months ending March 31, 2026.</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Income Taxes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Under ASC 740, Income Taxes, a valuation allowance is provided when it is more likely than not that some portion of the deferred tax assets will not be realized. As of December 31, 2025, Lineage released the valuation allowance associated with its Israeli subsidiary’s deferred tax assets based on sustained profitability and other positive evidence. Lineage continues to maintain a full valuation allowance against its U.S. and Singapore deferred tax assets due to the uncertainty of realizing future tax benefits from net operating loss carryforwards and other deferred tax assets in those jurisdictions. Lineage did not record a deferred tax benefit or provision expense for either of the three months ended March 31, 2026 or 2025.</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Overview</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March 31, 2026, we had $53.4 million in cash, cash equivalents and marketable securities, and our accumulated deficit was $471.8 million. For the three months ended March 31, 2026, we incurred a loss from operations of $7.6 million and had negative cash flow from operations of $8.1 million. Since inception, we have incurred significant operating losses and we expect to continue to incur significant operating losses for the foreseeable future.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have historically funded our operations primarily through proceeds from the sale of our common shares and securities exercisable for or convertible into our common shares, the sale of common stock of our former subsidiaries, research grants, revenues from collaborations, and royalties from product sales that are unrelated to our current cell therapy product candidates. </w:t>
      </w:r>
    </w:p>
    <w:p>
      <w:pPr>
        <w:pStyle w:val="TextBody"/>
        <w:bidi w:val="0"/>
        <w:spacing w:before="360" w:after="283"/>
        <w:jc w:val="both"/>
        <w:rPr>
          <w:rFonts w:ascii="Times New Roman" w:hAnsi="Times New Roman"/>
          <w:sz w:val="20"/>
        </w:rPr>
      </w:pPr>
      <w:r>
        <w:rPr>
          <w:rFonts w:ascii="Times New Roman" w:hAnsi="Times New Roman"/>
          <w:b/>
          <w:i/>
          <w:color w:val="000000"/>
          <w:sz w:val="20"/>
        </w:rPr>
        <w:t>Cash Flows</w:t>
      </w:r>
      <w:r>
        <w:rPr>
          <w:rFonts w:ascii="Times New Roman" w:hAnsi="Times New Roman"/>
          <w:color w:val="000000"/>
          <w:sz w:val="20"/>
        </w:rPr>
        <w:t xml:space="preserve"> </w:t>
      </w:r>
    </w:p>
    <w:p>
      <w:pPr>
        <w:pStyle w:val="TextBody"/>
        <w:bidi w:val="0"/>
        <w:jc w:val="both"/>
        <w:rPr/>
      </w:pPr>
      <w:r>
        <w:rPr/>
        <w:t> </w:t>
      </w:r>
    </w:p>
    <w:tbl>
      <w:tblPr>
        <w:tblW w:w="8966" w:type="dxa"/>
        <w:jc w:val="left"/>
        <w:tblInd w:w="0" w:type="dxa"/>
        <w:tblLayout w:type="fixed"/>
        <w:tblCellMar>
          <w:top w:w="28" w:type="dxa"/>
          <w:left w:w="28" w:type="dxa"/>
          <w:bottom w:w="28" w:type="dxa"/>
          <w:right w:w="28" w:type="dxa"/>
        </w:tblCellMar>
      </w:tblPr>
      <w:tblGrid>
        <w:gridCol w:w="5911"/>
        <w:gridCol w:w="146"/>
        <w:gridCol w:w="253"/>
        <w:gridCol w:w="759"/>
        <w:gridCol w:w="199"/>
        <w:gridCol w:w="175"/>
        <w:gridCol w:w="253"/>
        <w:gridCol w:w="759"/>
        <w:gridCol w:w="511"/>
      </w:tblGrid>
      <w:tr>
        <w:trPr/>
        <w:tc>
          <w:tcPr>
            <w:tcW w:w="59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59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provided by (used 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(8,078</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(4,886</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9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(2,326</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1,903</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5,561</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5,044</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Effect of exchange rate changes on cash, cash equivalents </w:t>
              <w:br/>
              <w:t>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59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Net (decrease) increase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(4,848</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1,988</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60" w:after="283"/>
        <w:jc w:val="both"/>
        <w:rPr>
          <w:rFonts w:ascii="Times New Roman" w:hAnsi="Times New Roman"/>
          <w:b/>
          <w:i/>
          <w:color w:val="000000"/>
          <w:sz w:val="20"/>
        </w:rPr>
      </w:pPr>
      <w:r>
        <w:rPr>
          <w:rFonts w:ascii="Times New Roman" w:hAnsi="Times New Roman"/>
          <w:b/>
          <w:i/>
          <w:color w:val="000000"/>
          <w:sz w:val="20"/>
        </w:rPr>
        <w:t>Cash Used In Operating Activities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Net cash used in operating activities for the three months ended March 31, 2026 was $8.1 million and consisted of a net loss of $4.8 million plus the net changes in operating assets and liabilities of approximately $2.1 million and $1.2 million in non-cash adjustments. The net changes in operating assets and liabilities were primarily due to a $1.7 million reduction in accounts payable and accrued liabilities and a $1.0 million reduction in deferred revenues, partially offset by a $0.6 million increase in accounts receivable and prepaid expenses and other current assets. The non-cash adjustments were primarily due to a $2.3 million change in the fair value of the warrant liability, partially offset by $1.2 million for stock based compensation.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Net cash used in operating activities for the three months ended March 31, 2025 was $4.9 million and consisted of a net loss of $4.1 million plus the net changes in operating assets and liabilities of approximately $0.3 million and $0.5 million in non-cash adjustments. The net changes in operating assets and liabilities was primarily due to a $1.3 million reduction in deferred revenues, partially offset by $1.1 million increase in accounts receivable and prepaid expenses and other current assets. The non-cash adjustments were primarily due to the change in the fair value of the warrant liability, partially offset by stock-based compensation and depreciation.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Cash (Used in) Provided by Investing Activities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Cash used in investing activities for the three months ended March 31, 2026 was $2.3 million and primarily consisted of cash used to purchase U.S. Treasury securities, net of proceeds from maturities of U.S. Treasury securities.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Cash provided by investing activities for the three months ended March 31, 2025 was $1.9 million and primarily consisted of maturities of U.S. Treasury securities.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Cash Provided by Financing Activities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Cash provided by financing activities for the three months ended March 31, 2026 was $5.6 million and consisted primarily of proceeds from the exercise of warrants and stock options.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Cash provided by financing activities for the three months ended March 31, 2025 was $5.0 million and primarily consisted of net proceeds from the sale of our common shares with warrants in the November 2024 RDO, partially offset by principal payments against our financed insurance liability.</w:t>
      </w:r>
    </w:p>
    <w:p>
      <w:pPr>
        <w:pStyle w:val="TextBody"/>
        <w:bidi w:val="0"/>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Financial Obligations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financial obligations primarily consist of obligations to our licensors under license agreements, obligations related to grants received from government entities, including the Israel Innovation Authority (“IIA”), obligations under vendor contracts for research services and other purchase commitments with suppliers.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received grants under the Innovation Law and are required to pay royalties to the IIA from the revenues generated from the sale of product candidates and related services developed, in whole or in part pursuant to, or as a result of, a research and development program funded by the IIA. Under the Innovation Law, we are also required to pay redemption fees to the IIA. To date, through a series of separate grants beginning in 2007, CCN has received a total of $15.4 million from the IIA to support the OpRegen program. We are obligated to pay approximately 24.1% of any future payments we may receive under the Roche Agreement to the IIA, up to an aggregate cap on all payments to IIA, such cap growing over time via interest accrual until paid in full. As of March 31, 2026, the aggregate cap amount was approximately $96.7 million. Redemption fees due to the IIA under the Innovation Law are due upon receipt of any milestone payments and royalties received under the Roche Agreement. In December 2025, Lineage funded CCN to pay the IIA 24.1% of the $5.0 million received from Roche upon the achievement of the first milestone under the Agreement. As of March 31, 2026, we have not included any future financial obligations due to the IIA under the Innovation Law in the accompanying unaudited condensed consolidated balance sheet because the achievement and timing of the events that would require future payments to the IIA under the Innovation Law is not fixed and determinable. See Note 13 (Commitments and Contingencies) to our condensed consolidated interim financial statements included in this report for additional information.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obligations to licensors under license agreements and to other government entities under the terms of grants we have received require us to make future payments relating to sublicense fees, developmental, regulatory and/or commercial milestone payments, redemption fees, royalties and patent maintenance costs. Sublicense fees are payable to licensors or government entities when we sublicense underlying intellectual property to third parties; the fees are based on a percentage of the license-related revenue we receive from sublicensees. Milestone payments are due to licensors or government entities upon future achievement of certain developmental, regulatory and/or commercial milestones. Royalties are payable to licensors or government entities based on a percentage of net sales of licensed products or of products covered by the in-licensed intellectual property, including those related to the Roche Agreement. In January 2026, Lineage funded CCN to pay Hadasit 21.5% of the $5.0 million received from Roche upon the achievement of the first milestone under the Roche Agreement. Patent maintenance costs are payable to licensors as reimbursement for the cost of maintaining licensed patents. Due to the contingent nature of the payments, the amounts and timing of payments to licensors under our in-license agreements and to government entities under the terms of grants we have received are uncertain and may fluctuate significantly from period to period. As of March 31, 2026, we have not included these future commitments on our condensed consolidated balance sheet because the achievement and timing of these events are not fixed and determinable.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March 31, 2026, under the terms of the leases for the facilities from which CCN and Lineage operate, a total of $2.2 million of rent payments will become due, of which $0.6 million will become due in the remainder of 2026.</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the normal course of business, we enter into services agreements with contract research organizations, contract manufacturing organizations and other third parties. Generally, these agreements provide for termination upon notice, with specified amounts due upon termination based on the timing of termination and the terms of the agreement. The amounts and timing of payments under these agreements are uncertain and contingent upon the initiation and completion of the services to be provided.</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Future Funding Requirements and Potential Sources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expect to continue to incur losses for at least the next several years. We expect that our operating expenses will continue to increase for the foreseeable future as we continue the development of, and seek regulatory approval for, our product candidates. As a result, we will need significant additional capital to fund our operations. Our determination as to when we will seek additional capital and the amount of additional capital that we will need will be based on our evaluation of the progress we make in our research and development programs, changes to the scope and focus of those programs, changes in grant funding for certain of those programs, and projection of future costs, revenues, and rates of expenditure. If we are unable to raise additional capital when and as needed, we may be required to delay, postpone, or cancel our clinical trials or limit the number of clinical trial sites.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March 2026, we received $5.4 million in proceeds from the exercise of warrants issued in our November 2024 RDO. We may receive up to an additional $30.2 million in gross proceeds upon the full cash exercise of the warrants we issued to the investors in the November 2024 RDO. However, no assurances can be given as to the extent to which additional warrants will be exercised. As of March 31, 2026, $60.0 million remained available for sale under our at-the-market offering program. See Note 10 (Shareholders’ Equity) to our condensed consolidated interim financial statements included in this report for additional information regarding our at-the-market offering program. </w:t>
      </w:r>
    </w:p>
    <w:p>
      <w:pPr>
        <w:pStyle w:val="TextBody"/>
        <w:bidi w:val="0"/>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may seek to obtain the additional capital we may need through one or more equity offerings, debt financings, government or other grant funding, or other third-party funding transactions, including potential strategic alliances and licensing or collaboration agreements, or structured financings such as royalty monetization transactions. We cannot provide any assurance that adequate additional capital will be available on favorable terms, if at all. The issuance of additional securities, whether equity or debt, or the possibility of such issuance, may cause the market price of our common shares to decline, and the issuance of additional equity securities could result in the dilution of the interests of our current shareholders. If we obtain additional capital through strategic alliances and licensing or collaboration agreements or structured financing, we may be required to relinquish rights to our intellectual property, our product candidates or rights to future revenue streams or otherwise agree to terms unfavorable to us. The unavailability or inadequacy of additional capital to meet future capital needs could force us to modify, curtail, delay, or suspend some or all aspects of our current planned operations. Our ability to raise additional capital may be adversely impacted due to external factors beyond our control, such as unfavorable global economic conditions, disruptions to and volatility in the credit and financial markets in the United States and worldwide, political and economic uncertainty, geopolitical conflicts, rising inflation and interest rates, and other macroeconomic factors.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believe that our $53.4 million in cash, cash equivalents and marketable securities at March 31, 2026, will be sufficient to fund our planned operations through at least twelve months from the issuance date of our condensed consolidated interim financial statements included elsewhere in this report. We believe we will meet our longer-term expected future cash requirements and obligations with our current cash and cash equivalents, marketable securities, milestone and other payments we expect to receive under our collaboration agreements, and proceeds we receive from sales of our common shares under our at-the-market offering program.</w:t>
      </w:r>
    </w:p>
    <w:p>
      <w:pPr>
        <w:pStyle w:val="TextBody"/>
        <w:bidi w:val="0"/>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bookmarkStart w:id="13" w:name="item_3"/>
      <w:bookmarkEnd w:id="13"/>
      <w:r>
        <w:rPr>
          <w:rFonts w:ascii="Times New Roman" w:hAnsi="Times New Roman"/>
          <w:b/>
          <w:color w:val="000000"/>
          <w:sz w:val="20"/>
        </w:rPr>
        <w:t>Item 3. Quantitative and Qualitative Disclosures about Market Risk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Under SEC rules and regulations, as a smaller reporting company, we are not required to provide the information required by this item.</w:t>
      </w:r>
    </w:p>
    <w:p>
      <w:pPr>
        <w:pStyle w:val="TextBody"/>
        <w:bidi w:val="0"/>
        <w:spacing w:before="360" w:after="283"/>
        <w:jc w:val="both"/>
        <w:rPr>
          <w:rFonts w:ascii="Times New Roman" w:hAnsi="Times New Roman"/>
          <w:b/>
          <w:color w:val="000000"/>
          <w:sz w:val="20"/>
        </w:rPr>
      </w:pPr>
      <w:bookmarkStart w:id="14" w:name="item_4"/>
      <w:bookmarkEnd w:id="14"/>
      <w:r>
        <w:rPr>
          <w:rFonts w:ascii="Times New Roman" w:hAnsi="Times New Roman"/>
          <w:b/>
          <w:color w:val="000000"/>
          <w:sz w:val="20"/>
        </w:rPr>
        <w:t>Item 4. Controls and Procedures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Evaluation of Disclosure Controls and Procedures</w:t>
      </w:r>
    </w:p>
    <w:p>
      <w:pPr>
        <w:pStyle w:val="TextBody"/>
        <w:bidi w:val="0"/>
        <w:spacing w:before="240" w:after="283"/>
        <w:jc w:val="both"/>
        <w:rPr>
          <w:rFonts w:ascii="Times New Roman" w:hAnsi="Times New Roman"/>
          <w:sz w:val="20"/>
        </w:rPr>
      </w:pPr>
      <w:r>
        <w:rPr>
          <w:rFonts w:ascii="Times New Roman" w:hAnsi="Times New Roman"/>
          <w:color w:val="000000"/>
          <w:sz w:val="20"/>
        </w:rPr>
        <w:t>It is management’s responsibility to establish and maintain adequate internal control over all financial reporting pursuant to Rule 13a-15 under the Exchange Act. Our management, including our principal executive officer and our principal financial officer, reviewed and evaluated the effectiveness of our disclosure controls and procedures as of the end of the period covered by this report. Following this review and evaluation</w:t>
      </w:r>
      <w:r>
        <w:rPr>
          <w:rFonts w:ascii="Times New Roman" w:hAnsi="Times New Roman"/>
          <w:i/>
          <w:color w:val="000000"/>
          <w:sz w:val="20"/>
        </w:rPr>
        <w:t>,</w:t>
      </w:r>
      <w:r>
        <w:rPr>
          <w:rFonts w:ascii="Times New Roman" w:hAnsi="Times New Roman"/>
          <w:color w:val="000000"/>
          <w:sz w:val="20"/>
        </w:rPr>
        <w:t xml:space="preserve"> management collectively determined that our disclosure controls and procedures were effective as of the end of the period covered by this report to ensure that information required to be disclosed by us in reports that we file or submit under the Exchange Act: (i) is recorded, processed, summarized and reported within the time periods specified in SEC rules and forms; and (ii) is accumulated and communicated to management, including our principal executive officer and our principal financial officer, as appropriate to allow timely decisions regarding required disclosure.</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Changes in Internal Control over Financial Reporting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There were no changes in our internal control over financial reporting that occurred during the period covered by this report that have materially affected, or are reasonably likely to materially affect, our internal control over financial reporting.</w:t>
      </w:r>
    </w:p>
    <w:p>
      <w:pPr>
        <w:pStyle w:val="TextBody"/>
        <w:bidi w:val="0"/>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olor w:val="000000"/>
          <w:sz w:val="20"/>
        </w:rPr>
      </w:pPr>
      <w:bookmarkStart w:id="15" w:name="part_ii"/>
      <w:bookmarkEnd w:id="15"/>
      <w:r>
        <w:rPr>
          <w:rFonts w:ascii="Times New Roman" w:hAnsi="Times New Roman"/>
          <w:b/>
          <w:color w:val="000000"/>
          <w:sz w:val="20"/>
        </w:rPr>
        <w:t>PART II - OTHER INFORMATION</w:t>
      </w:r>
    </w:p>
    <w:p>
      <w:pPr>
        <w:pStyle w:val="TextBody"/>
        <w:bidi w:val="0"/>
        <w:spacing w:before="240" w:after="283"/>
        <w:jc w:val="both"/>
        <w:rPr>
          <w:rFonts w:ascii="Times New Roman" w:hAnsi="Times New Roman"/>
          <w:b/>
          <w:color w:val="000000"/>
          <w:sz w:val="20"/>
        </w:rPr>
      </w:pPr>
      <w:bookmarkStart w:id="16" w:name="part_ii_item_1"/>
      <w:bookmarkEnd w:id="16"/>
      <w:r>
        <w:rPr>
          <w:rFonts w:ascii="Times New Roman" w:hAnsi="Times New Roman"/>
          <w:b/>
          <w:color w:val="000000"/>
          <w:sz w:val="20"/>
        </w:rPr>
        <w:t>Item 1. Legal Proceedings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not currently a party to any material legal proceedings. From time-to-time we may be involved in a variety of legal proceedings. Such proceedings may initially be viewed as immaterial but could later prove to be material. Legal proceedings are inherently unpredictable and excessive verdicts do occur. Given the inherent uncertainties in litigation, even when we can reasonably estimate the amount of possible loss or range of loss and reasonably estimable loss contingencies, the actual outcome may change in the future due to new developments or changes in approach. In addition, legal proceedings could involve significant expense and diversion of management’s attention and resources from other matters. For a discussion of legal proceedings in which we are involved, see Note 13 (Commitments and Contingencies) in the Notes to the Condensed Consolidated Interim Financial Statements in Part I, Item 1 of this report.</w:t>
      </w:r>
    </w:p>
    <w:p>
      <w:pPr>
        <w:pStyle w:val="TextBody"/>
        <w:bidi w:val="0"/>
        <w:spacing w:before="360" w:after="283"/>
        <w:jc w:val="both"/>
        <w:rPr>
          <w:rFonts w:ascii="Times New Roman" w:hAnsi="Times New Roman"/>
          <w:b/>
          <w:color w:val="000000"/>
          <w:sz w:val="20"/>
        </w:rPr>
      </w:pPr>
      <w:bookmarkStart w:id="17" w:name="part_ii_item_1a"/>
      <w:bookmarkEnd w:id="17"/>
      <w:r>
        <w:rPr>
          <w:rFonts w:ascii="Times New Roman" w:hAnsi="Times New Roman"/>
          <w:b/>
          <w:color w:val="000000"/>
          <w:sz w:val="20"/>
        </w:rPr>
        <w:t>Item 1A. Risk Factors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 investment in our common shares involves a high degree of risk. You should carefully consider the risks and uncertainties described in the 2025 10-K, in addition to other information in this report, when evaluating our business and before deciding whether to purchase, hold or sell our common shares. Each of these risks and uncertainties, as well as additional risks and uncertainties not presently known to us or that we currently consider immaterial, could harm our business, financial condition, results of operations and/or growth prospects, as well as adversely affect the market price of our common shares, in which case you may lose all or part of your investment. There have been no material changes from the risk factors disclosed in Part I, Item 1A. Risk Factors in the 2025 10-K.</w:t>
      </w:r>
    </w:p>
    <w:p>
      <w:pPr>
        <w:pStyle w:val="TextBody"/>
        <w:bidi w:val="0"/>
        <w:spacing w:before="360" w:after="283"/>
        <w:jc w:val="both"/>
        <w:rPr>
          <w:rFonts w:ascii="Times New Roman" w:hAnsi="Times New Roman"/>
          <w:b/>
          <w:color w:val="000000"/>
          <w:sz w:val="20"/>
        </w:rPr>
      </w:pPr>
      <w:bookmarkStart w:id="18" w:name="part_ii_item_2"/>
      <w:bookmarkEnd w:id="18"/>
      <w:r>
        <w:rPr>
          <w:rFonts w:ascii="Times New Roman" w:hAnsi="Times New Roman"/>
          <w:b/>
          <w:color w:val="000000"/>
          <w:sz w:val="20"/>
        </w:rPr>
        <w:t>Item 2. Unregistered Sales of Equity Securities, Use of Proceeds, and Issuer Purchases of Equity Securities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Except as previously reported in our periodic or current reports filed with the SEC, there were no unregistered sales of equity securities by us during the quarter covered by this report.</w:t>
      </w:r>
    </w:p>
    <w:p>
      <w:pPr>
        <w:pStyle w:val="TextBody"/>
        <w:bidi w:val="0"/>
        <w:spacing w:before="360" w:after="283"/>
        <w:jc w:val="both"/>
        <w:rPr>
          <w:rFonts w:ascii="Times New Roman" w:hAnsi="Times New Roman"/>
          <w:b/>
          <w:color w:val="000000"/>
          <w:sz w:val="20"/>
        </w:rPr>
      </w:pPr>
      <w:bookmarkStart w:id="19" w:name="part_ii_item_3"/>
      <w:bookmarkEnd w:id="19"/>
      <w:r>
        <w:rPr>
          <w:rFonts w:ascii="Times New Roman" w:hAnsi="Times New Roman"/>
          <w:b/>
          <w:color w:val="000000"/>
          <w:sz w:val="20"/>
        </w:rPr>
        <w:t>Item 3. Default Upon Senior Securities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both"/>
        <w:rPr>
          <w:rFonts w:ascii="Times New Roman" w:hAnsi="Times New Roman"/>
          <w:b/>
          <w:color w:val="000000"/>
          <w:sz w:val="20"/>
        </w:rPr>
      </w:pPr>
      <w:bookmarkStart w:id="20" w:name="part_ii_item_4"/>
      <w:bookmarkEnd w:id="20"/>
      <w:r>
        <w:rPr>
          <w:rFonts w:ascii="Times New Roman" w:hAnsi="Times New Roman"/>
          <w:b/>
          <w:color w:val="000000"/>
          <w:sz w:val="20"/>
        </w:rPr>
        <w:t>Item 4. Mine Safety Disclosures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both"/>
        <w:rPr>
          <w:rFonts w:ascii="Times New Roman" w:hAnsi="Times New Roman"/>
          <w:b/>
          <w:color w:val="000000"/>
          <w:sz w:val="20"/>
        </w:rPr>
      </w:pPr>
      <w:bookmarkStart w:id="21" w:name="part_ii_item_5"/>
      <w:bookmarkEnd w:id="21"/>
      <w:r>
        <w:rPr>
          <w:rFonts w:ascii="Times New Roman" w:hAnsi="Times New Roman"/>
          <w:b/>
          <w:color w:val="000000"/>
          <w:sz w:val="20"/>
        </w:rPr>
        <w:t>Item 5. Other Information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both"/>
        <w:rPr/>
      </w:pPr>
      <w:r>
        <w:rPr>
          <w:rFonts w:ascii="Times New Roman" w:hAnsi="Times New Roman"/>
          <w:color w:val="000000"/>
          <w:sz w:val="20"/>
        </w:rPr>
        <w:t>During the quarter covered by this report, none of our directors or officers (as defined in Rule 16a-1(f)</w:t>
        <w:br/>
        <w:t>under the Exchange Act) adopted</w:t>
      </w:r>
      <w:r>
        <w:rPr>
          <w:color w:val="000000"/>
        </w:rPr>
        <w:t xml:space="preserve"> </w:t>
      </w:r>
      <w:r>
        <w:rPr>
          <w:rFonts w:ascii="Times New Roman" w:hAnsi="Times New Roman"/>
          <w:color w:val="000000"/>
          <w:sz w:val="20"/>
        </w:rPr>
        <w:t>or terminated</w:t>
      </w:r>
      <w:r>
        <w:rPr>
          <w:color w:val="000000"/>
        </w:rPr>
        <w:t xml:space="preserve"> </w:t>
      </w:r>
      <w:r>
        <w:rPr>
          <w:rFonts w:ascii="Times New Roman" w:hAnsi="Times New Roman"/>
          <w:color w:val="000000"/>
          <w:sz w:val="20"/>
        </w:rPr>
        <w:t>any Rule 10b5-1 trading arrangement (as defined in Item 408(a)(1)(i) of</w:t>
        <w:br/>
        <w:t>Regulation S-K) or any non-Rule 10b5-1 trading arrangement (as defined in Item 408(c) of Regulation S-K).</w:t>
      </w:r>
    </w:p>
    <w:p>
      <w:pPr>
        <w:pStyle w:val="TextBody"/>
        <w:bidi w:val="0"/>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bookmarkStart w:id="22" w:name="part_ii_item_6"/>
      <w:bookmarkEnd w:id="22"/>
      <w:r>
        <w:rPr>
          <w:rFonts w:ascii="Times New Roman" w:hAnsi="Times New Roman"/>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87"/>
        <w:gridCol w:w="146"/>
        <w:gridCol w:w="5503"/>
        <w:gridCol w:w="146"/>
        <w:gridCol w:w="691"/>
        <w:gridCol w:w="146"/>
        <w:gridCol w:w="540"/>
        <w:gridCol w:w="146"/>
        <w:gridCol w:w="1156"/>
        <w:gridCol w:w="146"/>
        <w:gridCol w:w="798"/>
      </w:tblGrid>
      <w:tr>
        <w:trPr/>
        <w:tc>
          <w:tcPr>
            <w:tcW w:w="7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r>
      <w:tr>
        <w:trPr/>
        <w:tc>
          <w:tcPr>
            <w:tcW w:w="7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3" w:type="dxa"/>
            <w:gridSpan w:val="7"/>
            <w:tcBorders>
              <w:bottom w:val="single" w:sz="1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 by Reference</w:t>
            </w:r>
          </w:p>
        </w:tc>
      </w:tr>
      <w:tr>
        <w:trPr/>
        <w:tc>
          <w:tcPr>
            <w:tcW w:w="787" w:type="dxa"/>
            <w:tcBorders>
              <w:bottom w:val="single" w:sz="12" w:space="0" w:color="000000"/>
            </w:tcBorders>
            <w:tcMar>
              <w:top w:w="0" w:type="dxa"/>
              <w:left w:w="0" w:type="dxa"/>
              <w:right w:w="0" w:type="dxa"/>
            </w:tcMar>
            <w:vAlign w:val="center"/>
          </w:tcPr>
          <w:p>
            <w:pPr>
              <w:pStyle w:val="TableContents"/>
              <w:bidi w:val="0"/>
              <w:jc w:val="left"/>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503" w:type="dxa"/>
            <w:tcBorders>
              <w:bottom w:val="single" w:sz="1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bottom w:val="single" w:sz="12"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40" w:type="dxa"/>
            <w:tcBorders>
              <w:bottom w:val="single" w:sz="1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Filing</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6" w:type="dxa"/>
            <w:tcBorders>
              <w:bottom w:val="single" w:sz="1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Filing Date</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8" w:type="dxa"/>
            <w:tcBorders>
              <w:bottom w:val="single" w:sz="1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No.</w:t>
            </w:r>
          </w:p>
        </w:tc>
      </w:tr>
      <w:tr>
        <w:trPr/>
        <w:tc>
          <w:tcPr>
            <w:tcW w:w="7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3" w:type="dxa"/>
            <w:tcBorders/>
            <w:tcMar>
              <w:top w:w="0" w:type="dxa"/>
              <w:left w:w="0" w:type="dxa"/>
              <w:bottom w:w="0" w:type="dxa"/>
              <w:right w:w="0" w:type="dxa"/>
            </w:tcMar>
            <w:vAlign w:val="center"/>
          </w:tcPr>
          <w:p>
            <w:pPr>
              <w:pStyle w:val="TableContents"/>
              <w:bidi w:val="0"/>
              <w:spacing w:before="0" w:after="283"/>
              <w:jc w:val="both"/>
              <w:rPr/>
            </w:pPr>
            <w:hyperlink r:id="rId2">
              <w:r>
                <w:rPr>
                  <w:rStyle w:val="InternetLink"/>
                  <w:rFonts w:ascii="Times New Roman" w:hAnsi="Times New Roman"/>
                  <w:color w:val="0000FF"/>
                  <w:sz w:val="20"/>
                  <w:u w:val="single"/>
                </w:rPr>
                <w:t>Restated Articles of Incorporation, as amended</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3.1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 </w:t>
            </w:r>
            <w:r>
              <w:rPr>
                <w:rFonts w:ascii="Times New Roman" w:hAnsi="Times New Roman"/>
                <w:color w:val="000000"/>
                <w:sz w:val="20"/>
              </w:rPr>
              <w:t>10-Q</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November 9, 2023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001-12830</w:t>
            </w:r>
          </w:p>
        </w:tc>
      </w:tr>
      <w:tr>
        <w:trPr/>
        <w:tc>
          <w:tcPr>
            <w:tcW w:w="7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3" w:type="dxa"/>
            <w:tcBorders/>
            <w:tcMar>
              <w:top w:w="0" w:type="dxa"/>
              <w:left w:w="0" w:type="dxa"/>
              <w:bottom w:w="0" w:type="dxa"/>
              <w:right w:w="0" w:type="dxa"/>
            </w:tcMar>
            <w:vAlign w:val="center"/>
          </w:tcPr>
          <w:p>
            <w:pPr>
              <w:pStyle w:val="TableContents"/>
              <w:bidi w:val="0"/>
              <w:spacing w:before="0" w:after="283"/>
              <w:jc w:val="both"/>
              <w:rPr/>
            </w:pPr>
            <w:hyperlink r:id="rId3">
              <w:r>
                <w:rPr>
                  <w:rStyle w:val="InternetLink"/>
                  <w:rFonts w:ascii="Times New Roman" w:hAnsi="Times New Roman"/>
                  <w:color w:val="0000FF"/>
                  <w:sz w:val="20"/>
                  <w:u w:val="single"/>
                </w:rPr>
                <w:t>Certificate of Ownership</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August 12, 2019</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001-12830</w:t>
            </w:r>
          </w:p>
        </w:tc>
      </w:tr>
      <w:tr>
        <w:trPr/>
        <w:tc>
          <w:tcPr>
            <w:tcW w:w="7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3" w:type="dxa"/>
            <w:tcBorders/>
            <w:tcMar>
              <w:top w:w="0" w:type="dxa"/>
              <w:left w:w="0" w:type="dxa"/>
              <w:bottom w:w="0" w:type="dxa"/>
              <w:right w:w="0" w:type="dxa"/>
            </w:tcMar>
            <w:vAlign w:val="center"/>
          </w:tcPr>
          <w:p>
            <w:pPr>
              <w:pStyle w:val="TableContents"/>
              <w:bidi w:val="0"/>
              <w:spacing w:before="0" w:after="283"/>
              <w:jc w:val="both"/>
              <w:rPr/>
            </w:pPr>
            <w:hyperlink r:id="rId4">
              <w:r>
                <w:rPr>
                  <w:rStyle w:val="InternetLink"/>
                  <w:rFonts w:ascii="Times New Roman" w:hAnsi="Times New Roman"/>
                  <w:color w:val="0000FF"/>
                  <w:sz w:val="20"/>
                  <w:u w:val="single"/>
                </w:rPr>
                <w:t>Second Amended and Restated Bylaws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3.1(a)</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June 13, 2024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001-12830</w:t>
            </w:r>
          </w:p>
        </w:tc>
      </w:tr>
      <w:tr>
        <w:trPr/>
        <w:tc>
          <w:tcPr>
            <w:tcW w:w="7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5503" w:type="dxa"/>
            <w:tcBorders/>
            <w:tcMar>
              <w:top w:w="0" w:type="dxa"/>
              <w:left w:w="0" w:type="dxa"/>
              <w:bottom w:w="0" w:type="dxa"/>
              <w:right w:w="0" w:type="dxa"/>
            </w:tcMar>
            <w:vAlign w:val="center"/>
          </w:tcPr>
          <w:p>
            <w:pPr>
              <w:pStyle w:val="TableContents"/>
              <w:bidi w:val="0"/>
              <w:spacing w:before="0" w:after="283"/>
              <w:jc w:val="both"/>
              <w:rPr/>
            </w:pPr>
            <w:hyperlink w:anchor="lctx-ex31_1.htm">
              <w:r>
                <w:rPr>
                  <w:rStyle w:val="InternetLink"/>
                  <w:rFonts w:ascii="Times New Roman" w:hAnsi="Times New Roman"/>
                  <w:color w:val="0000FF"/>
                  <w:sz w:val="20"/>
                  <w:u w:val="single"/>
                </w:rPr>
                <w:t>Certification of Chief Executive Officer pursuant to Form of Rule 13a-14(a), as Adopted Pursuant to Section 302(a)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5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15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79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5503" w:type="dxa"/>
            <w:tcBorders/>
            <w:tcMar>
              <w:top w:w="0" w:type="dxa"/>
              <w:left w:w="0" w:type="dxa"/>
              <w:bottom w:w="0" w:type="dxa"/>
              <w:right w:w="0" w:type="dxa"/>
            </w:tcMar>
            <w:vAlign w:val="center"/>
          </w:tcPr>
          <w:p>
            <w:pPr>
              <w:pStyle w:val="TableContents"/>
              <w:bidi w:val="0"/>
              <w:spacing w:before="0" w:after="283"/>
              <w:jc w:val="both"/>
              <w:rPr/>
            </w:pPr>
            <w:hyperlink w:anchor="lctx-ex31_2.htm">
              <w:r>
                <w:rPr>
                  <w:rStyle w:val="InternetLink"/>
                  <w:rFonts w:ascii="Times New Roman" w:hAnsi="Times New Roman"/>
                  <w:color w:val="0000FF"/>
                  <w:sz w:val="20"/>
                  <w:u w:val="single"/>
                </w:rPr>
                <w:t>Certification of Chief Financial Officer pursuant to Form of Rule 13a-14(a), as Adopted Pursuant to Section 302(a)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9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540"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15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79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3" w:type="dxa"/>
            <w:tcBorders/>
            <w:tcMar>
              <w:top w:w="0" w:type="dxa"/>
              <w:left w:w="0" w:type="dxa"/>
              <w:bottom w:w="0" w:type="dxa"/>
              <w:right w:w="0" w:type="dxa"/>
            </w:tcMar>
            <w:vAlign w:val="center"/>
          </w:tcPr>
          <w:p>
            <w:pPr>
              <w:pStyle w:val="TableContents"/>
              <w:bidi w:val="0"/>
              <w:spacing w:before="0" w:after="283"/>
              <w:jc w:val="both"/>
              <w:rPr/>
            </w:pPr>
            <w:hyperlink w:anchor="lctx-ex32_1.htm">
              <w:r>
                <w:rPr>
                  <w:rStyle w:val="InternetLink"/>
                  <w:rFonts w:ascii="Times New Roman" w:hAnsi="Times New Roman"/>
                  <w:color w:val="0000FF"/>
                  <w:sz w:val="20"/>
                  <w:u w:val="single"/>
                </w:rPr>
                <w:t>Certification of Chief Executive Officer and Chief Financial Officer pursuant to 18 U.S.C. Section 1350, as Adopted Pursuant to Section 906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XBRL Instance Document - the instance document does not appear in the Interactive Data as its XBRL tags are embedded within the Inline XBRL document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Inline XBRL Taxonomy Extension Schema With Embedded Linkbase documents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Cover page formatted as Inline XBRL and contained in Exhibit 101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Filed herewith</w:t>
      </w:r>
    </w:p>
    <w:p>
      <w:pPr>
        <w:pStyle w:val="TextBody"/>
        <w:bidi w:val="0"/>
        <w:jc w:val="both"/>
        <w:rPr>
          <w:rFonts w:ascii="Times New Roman" w:hAnsi="Times New Roman"/>
          <w:color w:val="000000"/>
          <w:sz w:val="20"/>
        </w:rPr>
      </w:pPr>
      <w:r>
        <w:rPr>
          <w:rFonts w:ascii="Times New Roman" w:hAnsi="Times New Roman"/>
          <w:color w:val="000000"/>
          <w:sz w:val="20"/>
        </w:rPr>
        <w:t># Furnished herewith</w:t>
      </w:r>
    </w:p>
    <w:p>
      <w:pPr>
        <w:pStyle w:val="TextBody"/>
        <w:bidi w:val="0"/>
        <w:jc w:val="both"/>
        <w:rPr/>
      </w:pPr>
      <w:r>
        <w:rPr/>
        <w:t> </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3" w:name="signatures"/>
      <w:bookmarkEnd w:id="23"/>
      <w:r>
        <w:rPr>
          <w:rFonts w:ascii="Times New Roman" w:hAnsi="Times New Roman"/>
          <w:b/>
          <w:color w:val="000000"/>
          <w:sz w:val="20"/>
        </w:rPr>
        <w:t>SIGNATURES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5192" w:type="dxa"/>
        <w:jc w:val="left"/>
        <w:tblInd w:w="0" w:type="dxa"/>
        <w:tblLayout w:type="fixed"/>
        <w:tblCellMar>
          <w:top w:w="28" w:type="dxa"/>
          <w:left w:w="28" w:type="dxa"/>
          <w:bottom w:w="28" w:type="dxa"/>
          <w:right w:w="28" w:type="dxa"/>
        </w:tblCellMar>
      </w:tblPr>
      <w:tblGrid>
        <w:gridCol w:w="1741"/>
        <w:gridCol w:w="3451"/>
      </w:tblGrid>
      <w:tr>
        <w:trPr/>
        <w:tc>
          <w:tcPr>
            <w:tcW w:w="1741" w:type="dxa"/>
            <w:tcBorders/>
            <w:vAlign w:val="center"/>
          </w:tcPr>
          <w:p>
            <w:pPr>
              <w:pStyle w:val="TableContents"/>
              <w:bidi w:val="0"/>
              <w:spacing w:before="0" w:after="283"/>
              <w:jc w:val="left"/>
              <w:rPr>
                <w:sz w:val="4"/>
                <w:szCs w:val="4"/>
              </w:rPr>
            </w:pPr>
            <w:r>
              <w:rPr>
                <w:sz w:val="4"/>
                <w:szCs w:val="4"/>
              </w:rPr>
            </w:r>
          </w:p>
        </w:tc>
        <w:tc>
          <w:tcPr>
            <w:tcW w:w="3451" w:type="dxa"/>
            <w:tcBorders/>
            <w:vAlign w:val="center"/>
          </w:tcPr>
          <w:p>
            <w:pPr>
              <w:pStyle w:val="TableContents"/>
              <w:bidi w:val="0"/>
              <w:spacing w:before="0" w:after="283"/>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LINEAGE CELL THERAPEUTICS, INC.</w:t>
            </w:r>
          </w:p>
        </w:tc>
      </w:tr>
      <w:tr>
        <w:trPr/>
        <w:tc>
          <w:tcPr>
            <w:tcW w:w="17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12, 2026</w:t>
            </w:r>
          </w:p>
        </w:tc>
        <w:tc>
          <w:tcPr>
            <w:tcW w:w="345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 Brian M. Culley</w:t>
            </w:r>
          </w:p>
        </w:tc>
      </w:tr>
      <w:tr>
        <w:trPr/>
        <w:tc>
          <w:tcPr>
            <w:tcW w:w="17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Brian M. Culley</w:t>
            </w:r>
          </w:p>
        </w:tc>
      </w:tr>
      <w:tr>
        <w:trPr/>
        <w:tc>
          <w:tcPr>
            <w:tcW w:w="17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r>
        <w:trPr/>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12, 2026</w:t>
            </w:r>
          </w:p>
        </w:tc>
        <w:tc>
          <w:tcPr>
            <w:tcW w:w="345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i/>
                <w:color w:val="000000"/>
                <w:sz w:val="20"/>
              </w:rPr>
              <w:t>/s/ Jill Ann Howe</w:t>
            </w:r>
            <w:r>
              <w:rPr>
                <w:rFonts w:ascii="Times New Roman" w:hAnsi="Times New Roman"/>
                <w:color w:val="000000"/>
                <w:sz w:val="20"/>
              </w:rPr>
              <w:t xml:space="preserve"> </w:t>
            </w:r>
          </w:p>
        </w:tc>
      </w:tr>
      <w:tr>
        <w:trPr/>
        <w:tc>
          <w:tcPr>
            <w:tcW w:w="17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Jill Ann Howe </w:t>
            </w:r>
          </w:p>
        </w:tc>
      </w:tr>
      <w:tr>
        <w:trPr/>
        <w:tc>
          <w:tcPr>
            <w:tcW w:w="17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4" w:name="lctx-ex31_1.htm"/>
      <w:bookmarkStart w:id="25" w:name="kslctxex31_1"/>
      <w:bookmarkEnd w:id="24"/>
      <w:bookmarkEnd w:id="25"/>
      <w:r>
        <w:rPr>
          <w:rFonts w:ascii="Times New Roman" w:hAnsi="Times New Roman"/>
          <w:b/>
          <w:color w:val="000000"/>
          <w:sz w:val="20"/>
        </w:rPr>
        <w:t>Exhibit 31.1</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jc w:val="both"/>
        <w:rPr>
          <w:rFonts w:ascii="Times New Roman" w:hAnsi="Times New Roman"/>
          <w:color w:val="000000"/>
          <w:sz w:val="20"/>
        </w:rPr>
      </w:pPr>
      <w:r>
        <w:rPr>
          <w:rFonts w:ascii="Times New Roman" w:hAnsi="Times New Roman"/>
          <w:color w:val="000000"/>
          <w:sz w:val="20"/>
        </w:rPr>
        <w:t>I, Brian M. Culley, certify that: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 have reviewed this quarterly report on Form 10-Q of Lineage Cell Therapeutics, Inc.;</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Date: May 12, 2026</w:t>
      </w:r>
    </w:p>
    <w:tbl>
      <w:tblPr>
        <w:tblW w:w="2600" w:type="dxa"/>
        <w:jc w:val="left"/>
        <w:tblInd w:w="0" w:type="dxa"/>
        <w:tblLayout w:type="fixed"/>
        <w:tblCellMar>
          <w:top w:w="28" w:type="dxa"/>
          <w:left w:w="28" w:type="dxa"/>
          <w:bottom w:w="28" w:type="dxa"/>
          <w:right w:w="28" w:type="dxa"/>
        </w:tblCellMar>
      </w:tblPr>
      <w:tblGrid>
        <w:gridCol w:w="2446"/>
        <w:gridCol w:w="154"/>
      </w:tblGrid>
      <w:tr>
        <w:trPr/>
        <w:tc>
          <w:tcPr>
            <w:tcW w:w="24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6" w:type="dxa"/>
            <w:tcBorders>
              <w:bottom w:val="single" w:sz="1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 Brian M. Culley</w:t>
            </w:r>
          </w:p>
        </w:tc>
        <w:tc>
          <w:tcPr>
            <w:tcW w:w="154" w:type="dxa"/>
            <w:tcBorders>
              <w:bottom w:val="single" w:sz="1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Brian M. Culley</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Chief Executive Officer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bookmarkStart w:id="26" w:name="lctx-ex31_2.htm"/>
      <w:bookmarkStart w:id="27" w:name="kslctxex31_2"/>
      <w:bookmarkEnd w:id="26"/>
      <w:bookmarkEnd w:id="27"/>
      <w:r>
        <w:rPr>
          <w:rFonts w:ascii="Times New Roman" w:hAnsi="Times New Roman"/>
          <w:b/>
          <w:color w:val="000000"/>
          <w:sz w:val="24"/>
        </w:rPr>
        <w:t>Exhibit 31.2</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 Jill Ann Howe, certify that: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 have reviewed this quarterly report on Form 10-Q of Lineage Cell Therapeutics, Inc.;</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Date: May 12, 2026</w:t>
      </w:r>
    </w:p>
    <w:p>
      <w:pPr>
        <w:pStyle w:val="TextBody"/>
        <w:bidi w:val="0"/>
        <w:jc w:val="left"/>
        <w:rPr/>
      </w:pPr>
      <w:r>
        <w:rPr/>
        <w:t> </w:t>
      </w:r>
    </w:p>
    <w:tbl>
      <w:tblPr>
        <w:tblW w:w="3781" w:type="dxa"/>
        <w:jc w:val="left"/>
        <w:tblInd w:w="0" w:type="dxa"/>
        <w:tblLayout w:type="fixed"/>
        <w:tblCellMar>
          <w:top w:w="28" w:type="dxa"/>
          <w:left w:w="28" w:type="dxa"/>
          <w:bottom w:w="28" w:type="dxa"/>
          <w:right w:w="28" w:type="dxa"/>
        </w:tblCellMar>
      </w:tblPr>
      <w:tblGrid>
        <w:gridCol w:w="3781"/>
      </w:tblGrid>
      <w:tr>
        <w:trPr/>
        <w:tc>
          <w:tcPr>
            <w:tcW w:w="3781" w:type="dxa"/>
            <w:tcBorders/>
            <w:vAlign w:val="center"/>
          </w:tcPr>
          <w:p>
            <w:pPr>
              <w:pStyle w:val="TableContents"/>
              <w:bidi w:val="0"/>
              <w:spacing w:before="0" w:after="283"/>
              <w:jc w:val="left"/>
              <w:rPr>
                <w:sz w:val="4"/>
                <w:szCs w:val="4"/>
              </w:rPr>
            </w:pPr>
            <w:r>
              <w:rPr>
                <w:sz w:val="4"/>
                <w:szCs w:val="4"/>
              </w:rPr>
            </w:r>
          </w:p>
        </w:tc>
      </w:tr>
      <w:tr>
        <w:trPr/>
        <w:tc>
          <w:tcPr>
            <w:tcW w:w="3781" w:type="dxa"/>
            <w:tcBorders>
              <w:bottom w:val="single" w:sz="1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 Jill Ann Howe</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Jill Ann Howe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Chief Financial Officer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bookmarkStart w:id="28" w:name="gfpex32_1_htm"/>
      <w:bookmarkEnd w:id="28"/>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9" w:name="lctx-ex32_1.htm"/>
      <w:bookmarkStart w:id="30" w:name="kslctxex32_1"/>
      <w:bookmarkEnd w:id="29"/>
      <w:bookmarkEnd w:id="30"/>
      <w:r>
        <w:rPr>
          <w:rFonts w:ascii="Times New Roman" w:hAnsi="Times New Roman"/>
          <w:b/>
          <w:color w:val="000000"/>
          <w:sz w:val="20"/>
        </w:rPr>
        <w:t>Exhibit 32.1</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 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jc w:val="both"/>
        <w:rPr>
          <w:rFonts w:ascii="Times New Roman" w:hAnsi="Times New Roman"/>
          <w:color w:val="000000"/>
          <w:sz w:val="20"/>
        </w:rPr>
      </w:pPr>
      <w:r>
        <w:rPr>
          <w:rFonts w:ascii="Times New Roman" w:hAnsi="Times New Roman"/>
          <w:color w:val="000000"/>
          <w:sz w:val="20"/>
        </w:rPr>
        <w:t>In connection with the quarterly report on Form 10-Q of Lineage Cell Therapeutics, Inc. (the “Company”) for the quarter ended March 31, 2026 as filed with the Securities and Exchange Commission on the date hereof (the “Report”), we, Brian M. Culley, Chief Executive Officer of the Company, and Jill Ann Howe, Chief Financial Officer of the Company, certify pursuant to 18 U.S.C. Section 1350, as adopted pursuant to Section 906 of the Sarbanes-Oxley Act of 2002, that: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as amended; and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Date: May 12, 2026</w:t>
      </w:r>
    </w:p>
    <w:tbl>
      <w:tblPr>
        <w:tblW w:w="2600" w:type="dxa"/>
        <w:jc w:val="left"/>
        <w:tblInd w:w="0" w:type="dxa"/>
        <w:tblLayout w:type="fixed"/>
        <w:tblCellMar>
          <w:top w:w="28" w:type="dxa"/>
          <w:left w:w="28" w:type="dxa"/>
          <w:bottom w:w="28" w:type="dxa"/>
          <w:right w:w="28" w:type="dxa"/>
        </w:tblCellMar>
      </w:tblPr>
      <w:tblGrid>
        <w:gridCol w:w="2446"/>
        <w:gridCol w:w="154"/>
      </w:tblGrid>
      <w:tr>
        <w:trPr/>
        <w:tc>
          <w:tcPr>
            <w:tcW w:w="24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6" w:type="dxa"/>
            <w:tcBorders>
              <w:bottom w:val="single" w:sz="12" w:space="0" w:color="000000"/>
            </w:tcBorders>
            <w:shd w:fill="FFFFFF" w:val="clear"/>
            <w:tcMar>
              <w:top w:w="0" w:type="dxa"/>
              <w:left w:w="0" w:type="dxa"/>
              <w:right w:w="0" w:type="dxa"/>
            </w:tcMar>
            <w:vAlign w:val="center"/>
          </w:tcPr>
          <w:p>
            <w:pPr>
              <w:pStyle w:val="TableContents"/>
              <w:bidi w:val="0"/>
              <w:spacing w:before="0" w:after="283"/>
              <w:jc w:val="both"/>
              <w:rPr>
                <w:rFonts w:ascii="Times New Roman" w:hAnsi="Times New Roman"/>
                <w:i/>
                <w:color w:val="000000"/>
                <w:sz w:val="20"/>
              </w:rPr>
            </w:pPr>
            <w:r>
              <w:rPr>
                <w:rFonts w:ascii="Times New Roman" w:hAnsi="Times New Roman"/>
                <w:i/>
                <w:color w:val="000000"/>
                <w:sz w:val="20"/>
              </w:rPr>
              <w:t>/s/ Brian M. Culley</w:t>
            </w:r>
          </w:p>
        </w:tc>
        <w:tc>
          <w:tcPr>
            <w:tcW w:w="154" w:type="dxa"/>
            <w:tcBorders>
              <w:bottom w:val="single" w:sz="1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Brian M. Culley</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Chief Executive Officer</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(Principal Executive Officer)</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90" w:type="dxa"/>
        <w:jc w:val="left"/>
        <w:tblInd w:w="0" w:type="dxa"/>
        <w:tblLayout w:type="fixed"/>
        <w:tblCellMar>
          <w:top w:w="28" w:type="dxa"/>
          <w:left w:w="28" w:type="dxa"/>
          <w:bottom w:w="28" w:type="dxa"/>
          <w:right w:w="28" w:type="dxa"/>
        </w:tblCellMar>
      </w:tblPr>
      <w:tblGrid>
        <w:gridCol w:w="3736"/>
        <w:gridCol w:w="154"/>
      </w:tblGrid>
      <w:tr>
        <w:trPr/>
        <w:tc>
          <w:tcPr>
            <w:tcW w:w="3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6" w:type="dxa"/>
            <w:tcBorders>
              <w:bottom w:val="single" w:sz="1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 Jill Ann Howe</w:t>
            </w:r>
          </w:p>
        </w:tc>
        <w:tc>
          <w:tcPr>
            <w:tcW w:w="154" w:type="dxa"/>
            <w:tcBorders>
              <w:bottom w:val="single" w:sz="1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Jill Ann Howe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Chief Financial Officer</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both"/>
        <w:rPr>
          <w:rFonts w:ascii="Times New Roman" w:hAnsi="Times New Roman"/>
          <w:color w:val="000000"/>
          <w:sz w:val="20"/>
        </w:rPr>
      </w:pPr>
      <w:r>
        <w:rPr>
          <w:rFonts w:ascii="Times New Roman" w:hAnsi="Times New Roman"/>
          <w:color w:val="000000"/>
          <w:sz w:val="20"/>
        </w:rPr>
        <w:t>A signed original of this written statement required by Section 906 has been provided to Lineage Cell Therapeutics, Inc. and will be retained by Lineage Cell Therapeutics, Inc. and furnished to the Securities and Exchange Commission or its staff upon request.</w:t>
      </w:r>
    </w:p>
    <w:p>
      <w:pPr>
        <w:pStyle w:val="TextBody"/>
        <w:bidi w:val="0"/>
        <w:jc w:val="both"/>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876343/000149315223040058/ex3-1.htm" TargetMode="External"/><Relationship Id="rId3" Type="http://schemas.openxmlformats.org/officeDocument/2006/relationships/hyperlink" Target="https://www.sec.gov/Archives/edgar/data/876343/000149315219012036/ex3-1.htm" TargetMode="External"/><Relationship Id="rId4" Type="http://schemas.openxmlformats.org/officeDocument/2006/relationships/hyperlink" Target="https://www.sec.gov/Archives/edgar/data/876343/000095017024073072/lctx-ex3_1a.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22021</Words>
  <Characters>123537</Characters>
  <CharactersWithSpaces>146346</CharactersWithSpaces>
  <Paragraphs>4859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