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6" w:lineRule="exact"/>
        <w:rPr>
          <w:sz w:val="24"/>
          <w:szCs w:val="24"/>
          <w:color w:val="auto"/>
        </w:rPr>
      </w:pPr>
    </w:p>
    <w:p>
      <w:pPr>
        <w:ind w:left="3940" w:right="2180" w:hanging="3932"/>
        <w:spacing w:after="0" w:line="391" w:lineRule="auto"/>
        <w:tabs>
          <w:tab w:leader="none" w:pos="3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2025</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130" w:lineRule="exact"/>
        <w:rPr>
          <w:rFonts w:ascii="MS PGothic" w:cs="MS PGothic" w:eastAsia="MS PGothic" w:hAnsi="MS PGothic"/>
          <w:sz w:val="18"/>
          <w:szCs w:val="18"/>
          <w:color w:val="auto"/>
        </w:rPr>
      </w:pPr>
    </w:p>
    <w:p>
      <w:pPr>
        <w:ind w:left="3660" w:right="2180" w:hanging="3602"/>
        <w:spacing w:after="0" w:line="389" w:lineRule="auto"/>
        <w:tabs>
          <w:tab w:leader="none" w:pos="35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 to ________</w:t>
      </w: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001-12830</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Lineage Cell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7460" w:type="dxa"/>
            <w:vAlign w:val="bottom"/>
            <w:gridSpan w:val="6"/>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78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8"/>
              </w:rPr>
              <w:t>94-3127919</w:t>
            </w:r>
          </w:p>
        </w:tc>
      </w:tr>
      <w:tr>
        <w:trPr>
          <w:trHeight w:val="216"/>
        </w:trPr>
        <w:tc>
          <w:tcPr>
            <w:tcW w:w="7460" w:type="dxa"/>
            <w:vAlign w:val="bottom"/>
            <w:gridSpan w:val="6"/>
          </w:tcPr>
          <w:p>
            <w:pPr>
              <w:jc w:val="center"/>
              <w:ind w:right="194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8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460" w:type="dxa"/>
            <w:vAlign w:val="bottom"/>
            <w:gridSpan w:val="6"/>
          </w:tcPr>
          <w:p>
            <w:pPr>
              <w:jc w:val="center"/>
              <w:ind w:right="19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78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15"/>
        </w:trPr>
        <w:tc>
          <w:tcPr>
            <w:tcW w:w="3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6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2173 Salk Avenue, Suite 200</w:t>
            </w:r>
          </w:p>
        </w:tc>
        <w:tc>
          <w:tcPr>
            <w:tcW w:w="3780" w:type="dxa"/>
            <w:vAlign w:val="bottom"/>
          </w:tcPr>
          <w:p>
            <w:pPr>
              <w:spacing w:after="0"/>
              <w:rPr>
                <w:sz w:val="24"/>
                <w:szCs w:val="24"/>
                <w:color w:val="auto"/>
              </w:rPr>
            </w:pPr>
          </w:p>
        </w:tc>
      </w:tr>
      <w:tr>
        <w:trPr>
          <w:trHeight w:val="220"/>
        </w:trPr>
        <w:tc>
          <w:tcPr>
            <w:tcW w:w="3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6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Carlsbad, California 92008</w:t>
            </w:r>
          </w:p>
        </w:tc>
        <w:tc>
          <w:tcPr>
            <w:tcW w:w="3780" w:type="dxa"/>
            <w:vAlign w:val="bottom"/>
          </w:tcPr>
          <w:p>
            <w:pPr>
              <w:spacing w:after="0"/>
              <w:rPr>
                <w:sz w:val="19"/>
                <w:szCs w:val="19"/>
                <w:color w:val="auto"/>
              </w:rPr>
            </w:pPr>
          </w:p>
        </w:tc>
      </w:tr>
      <w:tr>
        <w:trPr>
          <w:trHeight w:val="234"/>
        </w:trPr>
        <w:tc>
          <w:tcPr>
            <w:tcW w:w="3020" w:type="dxa"/>
            <w:vAlign w:val="bottom"/>
          </w:tcPr>
          <w:p>
            <w:pPr>
              <w:spacing w:after="0"/>
              <w:rPr>
                <w:sz w:val="20"/>
                <w:szCs w:val="20"/>
                <w:color w:val="auto"/>
              </w:rPr>
            </w:pPr>
          </w:p>
        </w:tc>
        <w:tc>
          <w:tcPr>
            <w:tcW w:w="444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780" w:type="dxa"/>
            <w:vAlign w:val="bottom"/>
          </w:tcPr>
          <w:p>
            <w:pPr>
              <w:spacing w:after="0"/>
              <w:rPr>
                <w:sz w:val="20"/>
                <w:szCs w:val="20"/>
                <w:color w:val="auto"/>
              </w:rPr>
            </w:pPr>
          </w:p>
        </w:tc>
      </w:tr>
      <w:tr>
        <w:trPr>
          <w:trHeight w:val="338"/>
        </w:trPr>
        <w:tc>
          <w:tcPr>
            <w:tcW w:w="3020" w:type="dxa"/>
            <w:vAlign w:val="bottom"/>
          </w:tcPr>
          <w:p>
            <w:pPr>
              <w:spacing w:after="0"/>
              <w:rPr>
                <w:sz w:val="24"/>
                <w:szCs w:val="24"/>
                <w:color w:val="auto"/>
              </w:rPr>
            </w:pPr>
          </w:p>
        </w:tc>
        <w:tc>
          <w:tcPr>
            <w:tcW w:w="8220" w:type="dxa"/>
            <w:vAlign w:val="bottom"/>
            <w:gridSpan w:val="6"/>
          </w:tcPr>
          <w:p>
            <w:pPr>
              <w:jc w:val="center"/>
              <w:ind w:right="2930"/>
              <w:spacing w:after="0"/>
              <w:rPr>
                <w:sz w:val="20"/>
                <w:szCs w:val="20"/>
                <w:color w:val="auto"/>
              </w:rPr>
            </w:pPr>
            <w:r>
              <w:rPr>
                <w:rFonts w:ascii="Times New Roman" w:cs="Times New Roman" w:eastAsia="Times New Roman" w:hAnsi="Times New Roman"/>
                <w:sz w:val="18"/>
                <w:szCs w:val="18"/>
                <w:color w:val="auto"/>
              </w:rPr>
              <w:t>(Registrant’s telephone number, including area code) (442) 287-8990</w:t>
            </w:r>
          </w:p>
        </w:tc>
      </w:tr>
      <w:tr>
        <w:trPr>
          <w:trHeight w:val="338"/>
        </w:trPr>
        <w:tc>
          <w:tcPr>
            <w:tcW w:w="3020" w:type="dxa"/>
            <w:vAlign w:val="bottom"/>
          </w:tcPr>
          <w:p>
            <w:pPr>
              <w:spacing w:after="0"/>
              <w:rPr>
                <w:sz w:val="24"/>
                <w:szCs w:val="24"/>
                <w:color w:val="auto"/>
              </w:rPr>
            </w:pPr>
          </w:p>
        </w:tc>
        <w:tc>
          <w:tcPr>
            <w:tcW w:w="8220" w:type="dxa"/>
            <w:vAlign w:val="bottom"/>
            <w:gridSpan w:val="6"/>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37"/>
        </w:trPr>
        <w:tc>
          <w:tcPr>
            <w:tcW w:w="30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Trading Symbol</w:t>
            </w:r>
          </w:p>
        </w:tc>
        <w:tc>
          <w:tcPr>
            <w:tcW w:w="378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2"/>
        </w:trPr>
        <w:tc>
          <w:tcPr>
            <w:tcW w:w="3020" w:type="dxa"/>
            <w:vAlign w:val="bottom"/>
            <w:tcBorders>
              <w:top w:val="single" w:sz="8" w:color="auto"/>
            </w:tcBorders>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Common shares</w:t>
            </w: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LCTX</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780" w:type="dxa"/>
            <w:vAlign w:val="bottom"/>
            <w:tcBorders>
              <w:top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NYSE American LLC</w:t>
            </w:r>
          </w:p>
        </w:tc>
      </w:tr>
    </w:tbl>
    <w:p>
      <w:pPr>
        <w:spacing w:after="0" w:line="8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4" w:right="339" w:bottom="1440" w:gutter="0" w:footer="0" w:header="0"/>
        </w:sectPr>
      </w:pPr>
    </w:p>
    <w:p>
      <w:pPr>
        <w:spacing w:after="0" w:line="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37" w:lineRule="exact"/>
        <w:rPr>
          <w:sz w:val="24"/>
          <w:szCs w:val="24"/>
          <w:color w:val="auto"/>
        </w:rPr>
      </w:pPr>
    </w:p>
    <w:p>
      <w:pPr>
        <w:sectPr>
          <w:pgSz w:w="11900" w:h="16838" w:orient="portrait"/>
          <w:cols w:equalWidth="0" w:num="2">
            <w:col w:w="3780" w:space="720"/>
            <w:col w:w="6740"/>
          </w:cols>
          <w:pgMar w:left="320" w:top="1024"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206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common shares outstanding as of May 7, 2025 was 228,356,290.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7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w:t>
            </w:r>
          </w:p>
        </w:tc>
        <w:tc>
          <w:tcPr>
            <w:tcW w:w="2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24"/>
                <w:szCs w:val="24"/>
                <w:color w:val="auto"/>
              </w:rPr>
            </w:pPr>
          </w:p>
        </w:tc>
        <w:tc>
          <w:tcPr>
            <w:tcW w:w="668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2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5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60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20" w:type="dxa"/>
            <w:vAlign w:val="bottom"/>
            <w:tcBorders>
              <w:bottom w:val="single" w:sz="8" w:color="0000EE"/>
            </w:tcBorders>
          </w:tcPr>
          <w:p>
            <w:pPr>
              <w:spacing w:after="0"/>
              <w:rPr>
                <w:sz w:val="24"/>
                <w:szCs w:val="24"/>
                <w:color w:val="auto"/>
              </w:rPr>
            </w:pPr>
          </w:p>
        </w:tc>
        <w:tc>
          <w:tcPr>
            <w:tcW w:w="5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376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524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Interim Financial Statements</w:t>
            </w:r>
          </w:p>
        </w:tc>
        <w:tc>
          <w:tcPr>
            <w:tcW w:w="20" w:type="dxa"/>
            <w:vAlign w:val="bottom"/>
            <w:tcBorders>
              <w:bottom w:val="single" w:sz="8" w:color="0000EE"/>
            </w:tcBorders>
          </w:tcPr>
          <w:p>
            <w:pPr>
              <w:spacing w:after="0"/>
              <w:rPr>
                <w:sz w:val="24"/>
                <w:szCs w:val="24"/>
                <w:color w:val="auto"/>
              </w:rPr>
            </w:pPr>
          </w:p>
        </w:tc>
        <w:tc>
          <w:tcPr>
            <w:tcW w:w="412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64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 of Operations</w:t>
            </w:r>
          </w:p>
        </w:tc>
        <w:tc>
          <w:tcPr>
            <w:tcW w:w="25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8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20" w:type="dxa"/>
            <w:vAlign w:val="bottom"/>
            <w:gridSpan w:val="1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2"/>
          </w:tcPr>
          <w:p>
            <w:pPr>
              <w:spacing w:after="0"/>
              <w:rPr>
                <w:sz w:val="24"/>
                <w:szCs w:val="24"/>
                <w:color w:val="auto"/>
              </w:rPr>
            </w:pPr>
          </w:p>
        </w:tc>
        <w:tc>
          <w:tcPr>
            <w:tcW w:w="708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820" w:type="dxa"/>
            <w:vAlign w:val="bottom"/>
            <w:gridSpan w:val="1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71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6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2"/>
          </w:tcPr>
          <w:p>
            <w:pPr>
              <w:spacing w:after="0"/>
              <w:rPr>
                <w:sz w:val="24"/>
                <w:szCs w:val="24"/>
                <w:color w:val="auto"/>
              </w:rPr>
            </w:pPr>
          </w:p>
        </w:tc>
        <w:tc>
          <w:tcPr>
            <w:tcW w:w="720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53"/>
        </w:trPr>
        <w:tc>
          <w:tcPr>
            <w:tcW w:w="7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380" w:type="dxa"/>
            <w:vAlign w:val="bottom"/>
            <w:gridSpan w:val="18"/>
          </w:tcPr>
          <w:p>
            <w:pPr>
              <w:ind w:left="422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2. “Management’s Discussion and Analysis of Financial Condition and Results of Operations” of this report, but are also contained elsewhere in this report. We make such forward-looking statements pursuant to the safe harbor provisions of the Private Securities Litigation Reform Act of 1995 and other federal securities laws. All statements other than statements of historical fact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spacing w:after="0" w:line="80" w:lineRule="exact"/>
        <w:rPr>
          <w:sz w:val="20"/>
          <w:szCs w:val="20"/>
          <w:color w:val="auto"/>
        </w:rPr>
      </w:pPr>
    </w:p>
    <w:p>
      <w:pPr>
        <w:ind w:left="520" w:right="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to receive developmental, regulatory, and commercialization milestone and royalty payments under our Collaboration and License Agreement with F. Hoffmann-La Roche Ltd and Genentech, Inc.;</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manufacture our product candidates in a reproducible, scalable, and cost-effective manner, including our future capability of producing several million doses of OpRegen;</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leverage our expertise to produce a cost-effective, scalable, and consistent supply of allogeneic cell transplant product candidates for ourselves and others, including for indications requiring large cell doses;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success, cost and timing of our clinical trials and other product development activities;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potential of our product candidates, and the indications for which we intend to develop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our product candidates for clinical development and, if approved, for commercialization, and the timing and costs of such manufacture;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cell therapy platform;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to fund our operations;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holders of outstanding warrants to purchase our common shares will exercise such warrants on a cash basis;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rights; and</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operations of the Israeli regional conflict and broader regional conflict, other geopolitical conflicts, political and economic uncertainty, rising inflation and interest rates, and other macroeconomic conditions.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“Item 1A. Risk Factors” in Part II of this report and in Part I of our Annual Report on Form 10-K for the fiscal year ended December 31, 2024 (the “2024 10-K”) as filed with the Securities and Exchange Commission (the “SEC”) on March 10, 2025, for a discussion of important factors that may cause our actual activities, performance, results and condition to differ materially from those expressed or implied by our forward-looking statements. As a result of a variety of factors, including those discussed in Item 1A. Risk Factors in Part II of this report and in Part I of the 2024 10-K, our forward-looking statements may prove to be inaccurate, and the inaccuracy may be material. Accordingly, you should not place undue reliance on any forward-looking 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spacing w:after="0" w:line="19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completely and with the understanding that our actual future performance, results and condition may be materially different from what we expect. We qualify all of our forward-looking statements by these cautionary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MARKET DATA AND TRADEMARKS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report also contains market data, industry forecasts and other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8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 xml:space="preserve">All brand names or trademarks appearing in this report are the property of their respective owners. Solely for convenience, the trademarks and trade names in this report may be referred to without the symbols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in this report to “Lineage,” the “Company,” “our company,” “we,” “us,” and “our” refer collectively to Lineage Cell Therapeutics, Inc.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47,886</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100" w:type="dxa"/>
            <w:vAlign w:val="bottom"/>
            <w:shd w:val="clear" w:color="auto" w:fill="CFF0FC"/>
          </w:tcPr>
          <w:p>
            <w:pPr>
              <w:spacing w:after="0"/>
              <w:rPr>
                <w:sz w:val="18"/>
                <w:szCs w:val="18"/>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111,753</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113,218</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
        </w:trPr>
        <w:tc>
          <w:tcPr>
            <w:tcW w:w="7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Deferred revenues, current portion</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tcBorders>
              <w:bottom w:val="single" w:sz="8" w:color="CFF0FC"/>
            </w:tcBorders>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00" w:type="dxa"/>
            <w:vAlign w:val="bottom"/>
            <w:shd w:val="clear" w:color="auto" w:fill="CFF0FC"/>
          </w:tcPr>
          <w:p>
            <w:pPr>
              <w:spacing w:after="0"/>
              <w:rPr>
                <w:sz w:val="18"/>
                <w:szCs w:val="18"/>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revenues, net of current portion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100" w:type="dxa"/>
            <w:vAlign w:val="bottom"/>
          </w:tcPr>
          <w:p>
            <w:pPr>
              <w:spacing w:after="0"/>
              <w:rPr>
                <w:sz w:val="18"/>
                <w:szCs w:val="18"/>
                <w:color w:val="auto"/>
              </w:rPr>
            </w:pPr>
          </w:p>
        </w:tc>
      </w:tr>
      <w:tr>
        <w:trPr>
          <w:trHeight w:val="75"/>
        </w:trPr>
        <w:tc>
          <w:tcPr>
            <w:tcW w:w="7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shares, no par value, 2,000 shares authorized; none issued and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outstanding as of March 31, 2025 and December 31, 2024</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shares, no par value, 450,000 shares authorized as of</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 2025 and December 31, 2024; 228,356 and 220,416 shares issued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outstanding as of March 31, 2025 and December 31, 2024,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484,722</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(407,604)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(403,465)</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Lineage's shareholders’ equity</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deficit</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(1,369)</w:t>
            </w: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77,655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111,753</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113,218</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-4156710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-4156710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-3110865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-2091055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4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Collaboration revenues</w:t>
            </w:r>
          </w:p>
        </w:tc>
        <w:tc>
          <w:tcPr>
            <w:tcW w:w="25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Royalties, license and other revenues</w:t>
            </w:r>
          </w:p>
        </w:tc>
        <w:tc>
          <w:tcPr>
            <w:tcW w:w="16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61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(6,661)</w:t>
            </w:r>
          </w:p>
        </w:tc>
        <w:tc>
          <w:tcPr>
            <w:tcW w:w="0" w:type="dxa"/>
            <w:vAlign w:val="bottom"/>
          </w:tcPr>
          <w:p>
            <w:pPr>
              <w:spacing w:after="0"/>
              <w:rPr>
                <w:sz w:val="1"/>
                <w:szCs w:val="1"/>
                <w:color w:val="auto"/>
              </w:rPr>
            </w:pPr>
          </w:p>
        </w:tc>
      </w:tr>
      <w:tr>
        <w:trPr>
          <w:trHeight w:val="74"/>
        </w:trPr>
        <w:tc>
          <w:tcPr>
            <w:tcW w:w="61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net</w:t>
            </w: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Loss on marketable equity securities, net</w:t>
            </w:r>
          </w:p>
        </w:tc>
        <w:tc>
          <w:tcPr>
            <w:tcW w:w="1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transaction loss, net</w:t>
            </w:r>
          </w:p>
        </w:tc>
        <w:tc>
          <w:tcPr>
            <w:tcW w:w="1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16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(4,143)</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LINEAGE</w:t>
            </w:r>
          </w:p>
        </w:tc>
        <w:tc>
          <w:tcPr>
            <w:tcW w:w="25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(4,139)</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loss per common share attributable to Lineage</w:t>
            </w:r>
          </w:p>
        </w:tc>
        <w:tc>
          <w:tcPr>
            <w:tcW w:w="2580" w:type="dxa"/>
            <w:vAlign w:val="bottom"/>
            <w:gridSpan w:val="2"/>
            <w:vMerge w:val="restart"/>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60" w:type="dxa"/>
            <w:vAlign w:val="bottom"/>
            <w:gridSpan w:val="2"/>
            <w:vMerge w:val="restart"/>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4"/>
        </w:trPr>
        <w:tc>
          <w:tcPr>
            <w:tcW w:w="61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2580" w:type="dxa"/>
            <w:vAlign w:val="bottom"/>
            <w:gridSpan w:val="2"/>
            <w:vMerge w:val="continue"/>
            <w:shd w:val="clear" w:color="auto" w:fill="CFF0FC"/>
          </w:tcPr>
          <w:p>
            <w:pPr>
              <w:spacing w:after="0"/>
              <w:rPr>
                <w:sz w:val="20"/>
                <w:szCs w:val="20"/>
                <w:color w:val="auto"/>
              </w:rPr>
            </w:pPr>
          </w:p>
        </w:tc>
        <w:tc>
          <w:tcPr>
            <w:tcW w:w="780" w:type="dxa"/>
            <w:vAlign w:val="bottom"/>
            <w:gridSpan w:val="2"/>
            <w:vMerge w:val="continue"/>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7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6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used to compute basic and</w:t>
            </w:r>
          </w:p>
        </w:tc>
        <w:tc>
          <w:tcPr>
            <w:tcW w:w="164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226,054</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182,909</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1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diluted net loss per common share</w:t>
            </w:r>
          </w:p>
        </w:tc>
        <w:tc>
          <w:tcPr>
            <w:tcW w:w="16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-3419475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-2519680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-1345565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-959485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-436245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-419100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Borders>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80" w:type="dxa"/>
            <w:vAlign w:val="bottom"/>
            <w:gridSpan w:val="2"/>
            <w:shd w:val="clear" w:color="auto" w:fill="CFF0FC"/>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(4,143)</w:t>
            </w:r>
          </w:p>
        </w:tc>
        <w:tc>
          <w:tcPr>
            <w:tcW w:w="11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(3,948)</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198"/>
        </w:trPr>
        <w:tc>
          <w:tcPr>
            <w:tcW w:w="62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2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 LOSS ATTRIBUTABLE TO LINEAGE</w:t>
            </w:r>
          </w:p>
        </w:tc>
        <w:tc>
          <w:tcPr>
            <w:tcW w:w="1480" w:type="dxa"/>
            <w:vAlign w:val="bottom"/>
            <w:vMerge w:val="restart"/>
            <w:shd w:val="clear" w:color="auto" w:fill="CFF0FC"/>
          </w:tcPr>
          <w:p>
            <w:pPr>
              <w:spacing w:after="0"/>
              <w:rPr>
                <w:sz w:val="16"/>
                <w:szCs w:val="16"/>
                <w:color w:val="auto"/>
              </w:rPr>
            </w:pPr>
          </w:p>
        </w:tc>
        <w:tc>
          <w:tcPr>
            <w:tcW w:w="1000" w:type="dxa"/>
            <w:vAlign w:val="bottom"/>
            <w:vMerge w:val="restart"/>
            <w:shd w:val="clear" w:color="auto" w:fill="CFF0FC"/>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(3,944)</w:t>
            </w:r>
          </w:p>
        </w:tc>
        <w:tc>
          <w:tcPr>
            <w:tcW w:w="1120" w:type="dxa"/>
            <w:vAlign w:val="bottom"/>
            <w:gridSpan w:val="2"/>
            <w:vMerge w:val="restart"/>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18"/>
        </w:trPr>
        <w:tc>
          <w:tcPr>
            <w:tcW w:w="62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COMMON SHAREHOLDERS</w:t>
            </w:r>
          </w:p>
        </w:tc>
        <w:tc>
          <w:tcPr>
            <w:tcW w:w="1480" w:type="dxa"/>
            <w:vAlign w:val="bottom"/>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0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52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520" w:type="dxa"/>
            <w:vAlign w:val="bottom"/>
            <w:gridSpan w:val="5"/>
            <w:vMerge w:val="continue"/>
          </w:tcPr>
          <w:p>
            <w:pPr>
              <w:spacing w:after="0"/>
              <w:rPr>
                <w:sz w:val="13"/>
                <w:szCs w:val="13"/>
                <w:color w:val="auto"/>
              </w:rPr>
            </w:pPr>
          </w:p>
        </w:tc>
        <w:tc>
          <w:tcPr>
            <w:tcW w:w="118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1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 (Loss)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220,416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484,722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(403,465)</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(1,369)</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(2,876)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through registered direct financing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Financing related fees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198"/>
        </w:trPr>
        <w:tc>
          <w:tcPr>
            <w:tcW w:w="40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Shares issued upon vesting of restricted stock units,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retired to pay employees’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(4,139)</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228,356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489,313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(407,604)</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(1,373)</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(2,681)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52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520" w:type="dxa"/>
            <w:vAlign w:val="bottom"/>
            <w:gridSpan w:val="5"/>
            <w:vMerge w:val="continue"/>
          </w:tcPr>
          <w:p>
            <w:pPr>
              <w:spacing w:after="0"/>
              <w:rPr>
                <w:sz w:val="13"/>
                <w:szCs w:val="13"/>
                <w:color w:val="auto"/>
              </w:rPr>
            </w:pPr>
          </w:p>
        </w:tc>
        <w:tc>
          <w:tcPr>
            <w:tcW w:w="118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1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 (Loss)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174,987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451,343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(384,856)</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(1,396)</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(3,068)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through registered direct financing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Shares issued through ATM financing</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related fees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8"/>
        </w:trPr>
        <w:tc>
          <w:tcPr>
            <w:tcW w:w="408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Shares issued upon vesting of restricted stock units,</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of shares retired to pay employees’ taxes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upon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(6,542)</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188,754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466,571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(391,398)</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(1,412)</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(2,771)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-2390775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-2373630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-2390775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-2373630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-2390775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-2373630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-2390775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-2373630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-2390775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-2373630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Three Months Ended March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Lineage</w:t>
            </w:r>
          </w:p>
        </w:tc>
        <w:tc>
          <w:tcPr>
            <w:tcW w:w="1640" w:type="dxa"/>
            <w:vAlign w:val="bottom"/>
            <w:gridSpan w:val="2"/>
          </w:tcPr>
          <w:p>
            <w:pPr>
              <w:jc w:val="right"/>
              <w:ind w:right="806"/>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(4,139)</w:t>
            </w:r>
          </w:p>
        </w:tc>
        <w:tc>
          <w:tcPr>
            <w:tcW w:w="64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(6,542)</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26"/>
        </w:trPr>
        <w:tc>
          <w:tcPr>
            <w:tcW w:w="7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attributable to Lineage Cell Therapeutics, Inc.</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net cash used in operating activities:</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costs for common stock warrant liabilities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marketable equity securities, net</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Accretion of income on marketable debt securities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right-of-use assets and liabilities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(2,305)</w:t>
            </w:r>
          </w:p>
        </w:tc>
        <w:tc>
          <w:tcPr>
            <w:tcW w:w="6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Foreign currency remeasurement and other loss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(1,279)</w:t>
            </w:r>
          </w:p>
        </w:tc>
        <w:tc>
          <w:tcPr>
            <w:tcW w:w="6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(4,886)</w:t>
            </w: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(5,783)</w:t>
            </w:r>
          </w:p>
        </w:tc>
        <w:tc>
          <w:tcPr>
            <w:tcW w:w="0" w:type="dxa"/>
            <w:vAlign w:val="bottom"/>
          </w:tcPr>
          <w:p>
            <w:pPr>
              <w:spacing w:after="0"/>
              <w:rPr>
                <w:sz w:val="1"/>
                <w:szCs w:val="1"/>
                <w:color w:val="auto"/>
              </w:rPr>
            </w:pPr>
          </w:p>
        </w:tc>
      </w:tr>
      <w:tr>
        <w:trPr>
          <w:trHeight w:val="183"/>
        </w:trPr>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2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Maturities of marketable debt securities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equipment</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6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1,903</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3"/>
        </w:trPr>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2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employee options exercised</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shares received and retired for employee taxes paid</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6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 of common shares under ATM, net of offering costs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 of common shares under registered direct financing, net of offering costs</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 of common shares with warrants under registered direct financing, net of offering costs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5,297</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 of financed insurance premium</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6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 of finance lease liabilities</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70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720" w:type="dxa"/>
            <w:vAlign w:val="bottom"/>
            <w:tcBorders>
              <w:top w:val="single" w:sz="8" w:color="CFF0FC"/>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5,044</w:t>
            </w:r>
          </w:p>
        </w:tc>
        <w:tc>
          <w:tcPr>
            <w:tcW w:w="260" w:type="dxa"/>
            <w:vAlign w:val="bottom"/>
            <w:tcBorders>
              <w:top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14,021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6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17"/>
        </w:trPr>
        <w:tc>
          <w:tcPr>
            <w:tcW w:w="7000" w:type="dxa"/>
            <w:vAlign w:val="bottom"/>
            <w:tcBorders>
              <w:top w:val="single" w:sz="8" w:color="CFF0FC"/>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INCREASE IN CASH, CASH EQUIVALENTS AND</w:t>
            </w:r>
          </w:p>
        </w:tc>
        <w:tc>
          <w:tcPr>
            <w:tcW w:w="720" w:type="dxa"/>
            <w:vAlign w:val="bottom"/>
            <w:tcBorders>
              <w:top w:val="single" w:sz="8" w:color="CFF0FC"/>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26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8,130</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w:t>
            </w:r>
          </w:p>
        </w:tc>
        <w:tc>
          <w:tcPr>
            <w:tcW w:w="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At beginning of the period</w:t>
            </w:r>
          </w:p>
        </w:tc>
        <w:tc>
          <w:tcPr>
            <w:tcW w:w="7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46,354</w:t>
            </w:r>
          </w:p>
        </w:tc>
        <w:tc>
          <w:tcPr>
            <w:tcW w:w="2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35,992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0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At end of the period</w:t>
            </w:r>
          </w:p>
        </w:tc>
        <w:tc>
          <w:tcPr>
            <w:tcW w:w="1640" w:type="dxa"/>
            <w:vAlign w:val="bottom"/>
            <w:gridSpan w:val="2"/>
            <w:shd w:val="clear" w:color="auto" w:fill="CFF0FC"/>
          </w:tcPr>
          <w:p>
            <w:pPr>
              <w:jc w:val="right"/>
              <w:ind w:right="80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48,342</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44,122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720" w:type="dxa"/>
            <w:vAlign w:val="bottom"/>
            <w:tcBorders>
              <w:top w:val="single" w:sz="8" w:color="CFF0F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640" w:type="dxa"/>
            <w:vAlign w:val="bottom"/>
            <w:gridSpan w:val="2"/>
            <w:shd w:val="clear" w:color="auto" w:fill="CFF0FC"/>
          </w:tcPr>
          <w:p>
            <w:pPr>
              <w:jc w:val="right"/>
              <w:ind w:right="80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SCHEDULE OF NON-CASH FINANCING AND</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Financing costs in accounts payable and accrued liabilities</w:t>
            </w:r>
          </w:p>
        </w:tc>
        <w:tc>
          <w:tcPr>
            <w:tcW w:w="1640" w:type="dxa"/>
            <w:vAlign w:val="bottom"/>
            <w:gridSpan w:val="2"/>
            <w:shd w:val="clear" w:color="auto" w:fill="CFF0FC"/>
          </w:tcPr>
          <w:p>
            <w:pPr>
              <w:jc w:val="right"/>
              <w:ind w:right="80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Fair value of warrant liability recognized upon issuance in registered direct financing</w:t>
            </w:r>
          </w:p>
        </w:tc>
        <w:tc>
          <w:tcPr>
            <w:tcW w:w="1640" w:type="dxa"/>
            <w:vAlign w:val="bottom"/>
            <w:gridSpan w:val="2"/>
          </w:tcPr>
          <w:p>
            <w:pPr>
              <w:jc w:val="right"/>
              <w:ind w:right="80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w:t>
            </w:r>
          </w:p>
        </w:tc>
        <w:tc>
          <w:tcPr>
            <w:tcW w:w="260" w:type="dxa"/>
            <w:vAlign w:val="bottom"/>
          </w:tcPr>
          <w:p>
            <w:pPr>
              <w:spacing w:after="0"/>
              <w:rPr>
                <w:sz w:val="12"/>
                <w:szCs w:val="12"/>
                <w:color w:val="auto"/>
              </w:rPr>
            </w:pPr>
          </w:p>
        </w:tc>
        <w:tc>
          <w:tcPr>
            <w:tcW w:w="64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Receivable from exercise of stock options</w:t>
            </w:r>
          </w:p>
        </w:tc>
        <w:tc>
          <w:tcPr>
            <w:tcW w:w="1640" w:type="dxa"/>
            <w:vAlign w:val="bottom"/>
            <w:gridSpan w:val="2"/>
            <w:shd w:val="clear" w:color="auto" w:fill="CFF0FC"/>
          </w:tcPr>
          <w:p>
            <w:pPr>
              <w:jc w:val="right"/>
              <w:ind w:right="806"/>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end of period:</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40" w:type="dxa"/>
            <w:vAlign w:val="bottom"/>
            <w:gridSpan w:val="2"/>
            <w:shd w:val="clear" w:color="auto" w:fill="CFF0FC"/>
          </w:tcPr>
          <w:p>
            <w:pPr>
              <w:jc w:val="right"/>
              <w:ind w:right="80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47,886</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43,576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Restricted cash included in deposits and other long-term assets</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000" w:type="dxa"/>
            <w:vAlign w:val="bottom"/>
          </w:tcPr>
          <w:p>
            <w:pPr>
              <w:ind w:left="260"/>
              <w:spacing w:after="0" w:line="158" w:lineRule="exact"/>
              <w:rPr>
                <w:sz w:val="20"/>
                <w:szCs w:val="20"/>
                <w:color w:val="auto"/>
              </w:rPr>
            </w:pPr>
            <w:r>
              <w:rPr>
                <w:rFonts w:ascii="Times New Roman" w:cs="Times New Roman" w:eastAsia="Times New Roman" w:hAnsi="Times New Roman"/>
                <w:sz w:val="14"/>
                <w:szCs w:val="14"/>
                <w:color w:val="auto"/>
              </w:rPr>
              <w:t>(see Note 13 (Commitments and Contingencies))</w:t>
            </w:r>
          </w:p>
        </w:tc>
        <w:tc>
          <w:tcPr>
            <w:tcW w:w="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640" w:type="dxa"/>
            <w:vAlign w:val="bottom"/>
            <w:gridSpan w:val="2"/>
            <w:shd w:val="clear" w:color="auto" w:fill="CFF0FC"/>
          </w:tcPr>
          <w:p>
            <w:pPr>
              <w:jc w:val="right"/>
              <w:ind w:right="80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48,342</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44,122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-3188335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-2767965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-1773555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-1259205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-1242060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left="340" w:right="2000"/>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Liquidity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developing novel allogeneic, or "off-the-shelf," cell therapies for serious neurological and ophthalmic conditions. Our programs are based on our proprietary, cell-based technology platform and associated development, formulation, manufacturing and delivery capabilities. From this platform, we design,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 cells with desired characteristics. Functional cells developed from such lineages that are relevant to the underlying condition are transplanted into patients in an effort to (a) </w:t>
      </w:r>
      <w:r>
        <w:rPr>
          <w:rFonts w:ascii="Times New Roman" w:cs="Times New Roman" w:eastAsia="Times New Roman" w:hAnsi="Times New Roman"/>
          <w:sz w:val="18"/>
          <w:szCs w:val="18"/>
          <w:i w:val="1"/>
          <w:iCs w:val="1"/>
          <w:color w:val="auto"/>
        </w:rPr>
        <w:t>replace</w:t>
      </w:r>
      <w:r>
        <w:rPr>
          <w:rFonts w:ascii="Times New Roman" w:cs="Times New Roman" w:eastAsia="Times New Roman" w:hAnsi="Times New Roman"/>
          <w:sz w:val="18"/>
          <w:szCs w:val="18"/>
          <w:color w:val="auto"/>
        </w:rPr>
        <w:t xml:space="preserve"> or support cells that are absent or dysfunctional due to degenerative disease, aging, or traumatic injury, and (b) </w:t>
      </w:r>
      <w:r>
        <w:rPr>
          <w:rFonts w:ascii="Times New Roman" w:cs="Times New Roman" w:eastAsia="Times New Roman" w:hAnsi="Times New Roman"/>
          <w:sz w:val="18"/>
          <w:szCs w:val="18"/>
          <w:i w:val="1"/>
          <w:iCs w:val="1"/>
          <w:color w:val="auto"/>
        </w:rPr>
        <w:t>restore</w:t>
      </w:r>
      <w:r>
        <w:rPr>
          <w:rFonts w:ascii="Times New Roman" w:cs="Times New Roman" w:eastAsia="Times New Roman" w:hAnsi="Times New Roman"/>
          <w:sz w:val="18"/>
          <w:szCs w:val="18"/>
          <w:color w:val="auto"/>
        </w:rPr>
        <w:t xml:space="preserve"> or enhance the patient's functional activity. Our business strategy is to efficiently leverage our technology platform and our development and manufacturing capabilities to advance our programs internally or in conjunction with strategic partners to further enhance their value and probability of success.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Scalable, cost-effective manufacturing can help make cell therapies affordable for a wider patient population. We believe a significant challenge facing the cell therapy field, and a necessary component of successful allogeneic cell therapy commercialization, is the ability to create, at scale and in a cost-effective manner, the desired cell product from a single cell line for the life of the product with the purity, potency, and production scale implied by an “off the shelf” product. The complex process for such a cost-effective and scaled production can be achieved by employing a current Good Manufacturing Practice, or cGMP, compliant and genetically stable cell banking system, which can provide an abundant, consistent, and permanent source of material for downstream production. A stable cGMP master cell bank created from a single, well-characterized pluripotent cell line can be the source of a cGMP working cell bank, which thereafter generates hundreds or thousands of vials of a final cell-based product comprised of millions of cells per vial. Utilizing a two-tier banking system can enable significant amplification of starting material, thereby being capable of providing a reliable, consistent, and permanent supply to the subsequent production campaigns that generate the final product, producing even millions of vials from the original initial bank.</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previously completed a cGMP production run for two of our clinical-stage product candidates from such a customized, two-tiered cGMP cell banking system. In total, we have to date produced unique cGMP banking systems for three of our product candidates. We believe we have reduced to practice and demonstrated a reproducible and scalable cGMP cell therapy production capability with the purity, potency, and production scale implied by an “off the shelf” allogeneic product. We believe this achievement with the banks we have manufactured can support a production capability exceeding the number of patients with each of the respective conditions, which has to date been considered in both cases to be a single-administration dosing schedule, without requiring the manufacture of a new starting master cell bank. We plan to leverage this expertise to produce a cost-effective, scalable, and consistent supply of allogeneic cell transplant product candidates for ourselves and others, including for indications requiring large cell doses or large patient populations.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lead cell therapy program, known as OpRegen®, is being developed for the treatment of ocular disorders, including geographic atrophy (“GA”) secondary to age-related macular degeneration (“AMD”) under a collaboration we entered into with F. Hoffmann-La Roche Ltd and Genentech, Inc., a member of the Roche Group (collectively or individually, “Roche” or “Genentech”). OpRegen (also known as RG6501) is a suspension of human allogeneic retinal pigmented epithelial (“RPE”) cells and is currently being evaluated in a Phase 2a multicenter clinical trial in patients with GA secondary to AMD which is referred to as the “GAlette Study”.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 In May 2024, we entered into an additional agreement with Genentech (“Services Agreement”) pursuant to which we agreed to provide Genentech with supplemental clinical, technical, training, manufacturing, and procurement services that support the ongoing advancement of the OpRegen program in exchange for certain payments. In September 2024, Roche and Genentech announced receipt of Regenerative Medicine Advanced Therapy (“RMAT”) designation from the U.S. Food and Drug Administration (“FDA”) for OpRegen for the treatment of GA secondary to dry AMD.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most advanced internally owned product candidate is OPC1, an allogeneic oligodendrocyte progenitor cell therapy designed to improve recovery following a spinal cord injury (“SCI”). Improved functional activity can lead to greater mobility and enhanced quality of life for patients and significant cost-savings for caregivers and payors. OPC1 also has an extensive long-term safety profile based on two clinical trials conducted to date: a five-patient Phase 1 safety trial in acute thoracic SCI, where all active subjects have been followed for at least 13 years, and a 25-patient Phase 1/2a multicenter dose-escalation trial in subacute cervical SCI, where all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active subjects were evaluated for at least 7 years. Results from these studies have been published in the Journal of Neurosurgery Spine. OPC1 clinical development has been supported in part by a $14.3 million grant from the California Institute for Regenerative Medicine (“CIRM”). We plan to apply for additional funding from CIRM to support continued clinical development of OPC1 for the treatment of SCI when CIRM begins accepting new applications, which they have indicated will be available soon. See “Grants from Government Entities – Grants from the California Institute for Regenerative Medicine,” below. In February 2025, we announced that we were initiating our DOSED (Delivery of Oligodendrocyte Progenitor Cells for Spinal Cord Injury: Evaluation of a Novel Device) clinical study to evaluate the safety and utility of a novel spinal cord delivery device designed to administer OPC1 to the spinal parenchyma in subacute and chronic SCI patients. The study will enroll both subacute (between 21 to 42 days following injury) and chronic (between 1 to 5 years following injury) SCI patients. The DOSED study will be the first study of OPC1 to include patients with a chronic injury, a condition which comprises the majority of SCI patients. We expect DOSED will enable future subsequent studies aimed to demonstrate OPC1’s ability to impact functional outcomes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UC San Diego Health, was named as the first participating site for the DOSED study. The DOSED study is expected to commence enrollment in June of 2025.</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pipeline of allogeneic, or “off-the-shelf”, neurology and ophthalmic cell therapy programs currently available to us for development includes:</w:t>
      </w:r>
    </w:p>
    <w:p>
      <w:pPr>
        <w:spacing w:after="0" w:line="115" w:lineRule="exact"/>
        <w:rPr>
          <w:sz w:val="20"/>
          <w:szCs w:val="20"/>
          <w:color w:val="auto"/>
        </w:rPr>
      </w:pPr>
    </w:p>
    <w:p>
      <w:pPr>
        <w:ind w:left="10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OpRegen (RG6501)</w:t>
      </w:r>
      <w:r>
        <w:rPr>
          <w:rFonts w:ascii="Times New Roman" w:cs="Times New Roman" w:eastAsia="Times New Roman" w:hAnsi="Times New Roman"/>
          <w:sz w:val="18"/>
          <w:szCs w:val="18"/>
          <w:color w:val="auto"/>
        </w:rPr>
        <w:t>, an allogeneic RPE cell replacement therapy currently in a Phase 2a multicenter, open-label, single arm clinical trial,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GAlette Study, being conducted by Genentech, for the treatment of GA secondary to AMD.</w:t>
      </w:r>
    </w:p>
    <w:p>
      <w:pPr>
        <w:spacing w:after="0" w:line="50"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OPC1</w:t>
      </w:r>
      <w:r>
        <w:rPr>
          <w:rFonts w:ascii="Times New Roman" w:cs="Times New Roman" w:eastAsia="Times New Roman" w:hAnsi="Times New Roman"/>
          <w:sz w:val="18"/>
          <w:szCs w:val="18"/>
          <w:color w:val="auto"/>
        </w:rPr>
        <w:t>, an allogeneic oligodendrocyte progenitor cell therapy currently in a Phase 1b, multicenter, open -label safety trial, the DOSED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designed to test the safety and utility of a novel spinal cord delivery device in subacute and chronic SCI patients. OPC1 continues to be evaluated in long-term follow-up from two completed Phase 1 and Phase 1/2a multicenter clinical trials in thoracic and subacute cervical SCI patients.</w:t>
      </w:r>
    </w:p>
    <w:p>
      <w:pPr>
        <w:spacing w:after="0" w:line="80"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ReSonance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(ANP1), an allogeneic auditory neuron progenitor cell transplant currently in preclinical development for the treatment of sensorineural hearing loss.</w:t>
      </w:r>
    </w:p>
    <w:p>
      <w:pPr>
        <w:spacing w:after="0" w:line="89"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PNC1</w:t>
      </w:r>
      <w:r>
        <w:rPr>
          <w:rFonts w:ascii="Times New Roman" w:cs="Times New Roman" w:eastAsia="Times New Roman" w:hAnsi="Times New Roman"/>
          <w:sz w:val="18"/>
          <w:szCs w:val="18"/>
          <w:color w:val="auto"/>
        </w:rPr>
        <w:t>, an allogeneic photoreceptor cell transplant currently in preclinical development for the treatment of vision loss due to photoreceptor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dysfunction or damage.</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RND1, </w:t>
      </w:r>
      <w:r>
        <w:rPr>
          <w:rFonts w:ascii="Times New Roman" w:cs="Times New Roman" w:eastAsia="Times New Roman" w:hAnsi="Times New Roman"/>
          <w:sz w:val="18"/>
          <w:szCs w:val="18"/>
          <w:color w:val="auto"/>
        </w:rPr>
        <w:t>a cell transplant program for an undisclosed indication, currently being developed through a gene editing collaboration with 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Biosciences Limited.</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proprietary hypoimmune cell line, </w:t>
      </w:r>
      <w:r>
        <w:rPr>
          <w:rFonts w:ascii="Times New Roman" w:cs="Times New Roman" w:eastAsia="Times New Roman" w:hAnsi="Times New Roman"/>
          <w:sz w:val="18"/>
          <w:szCs w:val="18"/>
          <w:color w:val="auto"/>
        </w:rPr>
        <w:t>which may have utility in additional central nervous system indications.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 and Technologies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have to date focused on neurological and ophthalmic cell types, the pluripotent cells which our platform is based on are capable of becoming any of the cell types of the human body. We currently maintain a list of additional undisclosed product candidates which may be considered for development or partnership in the future, and which altogether cover a range of therapeutic areas and conditions. Generally, these product candidates are based on the same platform technology and employ a similar guided cell differentiation and transplant approach as the product candidates discussed above, but in some cases may also include genetic modifications designed to enhance efficacy and/or safety profiles. We may elect not to develop or partner any of these product candidates.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were prepared in accordance with generally accepted accounting principles in the United States (“GAAP”) for interim financial information and with the instructions to Form 10-Q and Article 8 of Regulation S-X. In accordance with those rules and regulations, certain information and footnote disclosures normally included in comprehensive consolidated financial statements have been condensed or omitted. The condensed consolidated balance sheet as of December 31, 2024 was derived from the audited consolidated financial statements at that date but does not include all the information and footnotes required by GAAP. These accompanying unaudited condensed consolidated interim financial statements should be read in conjunction with the audited consolidated financial statements and notes thereto included in the 2024 10-K.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in the opinion of management, include all adjustments, consisting only of normal recurring adjustments, necessary for a fair presentation of our financial condition and results of operations. The condensed consolidated interim results of operations are not necessarily indicative of the results to be expected for any other interim period or for the entire year.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 and Principles of Consolidation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the Chief Executive Officer, manages the Company’s business activities as a single operating and reportable segment at the consolidated level. See Note 14 (Segment Information) for additional information. Lineage’s accompanying unaudited condensed consolidated interim financial statements include the accounts of its subsidiaries. The following table reflects Lineage’s ownership, directly or through one or more subsidiaries, of the outstanding shares of its operating subsidiaries as of March 31,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3"/>
                <w:szCs w:val="13"/>
                <w:color w:val="auto"/>
              </w:rPr>
            </w:pPr>
          </w:p>
        </w:tc>
        <w:tc>
          <w:tcPr>
            <w:tcW w:w="428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Field of Business</w:t>
            </w:r>
          </w:p>
        </w:tc>
        <w:tc>
          <w:tcPr>
            <w:tcW w:w="1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Lineage</w:t>
            </w:r>
          </w:p>
        </w:tc>
        <w:tc>
          <w:tcPr>
            <w:tcW w:w="18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42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8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Cell Cure Neurosciences Ltd.</w:t>
            </w:r>
          </w:p>
        </w:tc>
        <w:tc>
          <w:tcPr>
            <w:tcW w:w="200" w:type="dxa"/>
            <w:vAlign w:val="bottom"/>
            <w:shd w:val="clear" w:color="auto" w:fill="CFF0FC"/>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of Lineage’s product candidates</w:t>
            </w:r>
          </w:p>
        </w:tc>
        <w:tc>
          <w:tcPr>
            <w:tcW w:w="1560" w:type="dxa"/>
            <w:vAlign w:val="bottom"/>
            <w:gridSpan w:val="2"/>
            <w:shd w:val="clear" w:color="auto" w:fill="CFF0FC"/>
          </w:tcPr>
          <w:p>
            <w:pPr>
              <w:jc w:val="center"/>
              <w:ind w:right="368"/>
              <w:spacing w:after="0" w:line="210" w:lineRule="exact"/>
              <w:rPr>
                <w:sz w:val="20"/>
                <w:szCs w:val="20"/>
                <w:color w:val="auto"/>
              </w:rPr>
            </w:pPr>
            <w:r>
              <w:rPr>
                <w:rFonts w:ascii="Times New Roman" w:cs="Times New Roman" w:eastAsia="Times New Roman" w:hAnsi="Times New Roman"/>
                <w:sz w:val="18"/>
                <w:szCs w:val="18"/>
                <w:color w:val="auto"/>
              </w:rPr>
              <w:t>94%</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ES Cell International Pte. Ltd.</w:t>
            </w:r>
          </w:p>
        </w:tc>
        <w:tc>
          <w:tcPr>
            <w:tcW w:w="2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clinical grade cell lines</w:t>
            </w:r>
          </w:p>
        </w:tc>
        <w:tc>
          <w:tcPr>
            <w:tcW w:w="15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9030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1"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shares owned by Lineage and ES Cell International Pte. Ltd. (“ESI”).</w:t>
      </w:r>
    </w:p>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material intercompany accounts and transactions have been eliminated in consolidation. Lineage consolidates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unaudited condensed consolidated balance sheets.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31, 2025, we had $47.9 million of cash, cash equivalents and marketable securities. On March 31, 2025, Cell Cure Neuroscience, Ltd. (“CCN”) had restricted cash related to its lease. See Note 13 (Commitments and Contingencies) for additional information. Based on our current operating plan, we believe that our cash, cash equivalents and marketable securities, will be sufficient to enable us to carry out our planned operations through at least twelve months from the issuance date of our accompanying condensed consolidated interim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and have funded our operations primarily through the issuance of equity securities, the sale of common stock of our former subsidiaries, receipt of proceeds from research grants, revenues from collaborations, royalties from product sales, and sales of research products and services.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$39.97 million remained available for sale under our at-the-market offering program ("ATM"). See Note 10 (Shareholders’ Equity) for additional information.</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2025, we had $19,000 of marketable securities. We may use our marketable securities for liquidity as necessary and as market conditions allow. The market value of our marketable securities may not represent the amount that could be realized in a sale of such securities due to various market and regulatory factors, including trading volume, prevailing market conditions and prices at the time of any sale. In addition, the value of our marketable securities may be significantly and adversely impacted by deteriorating global economic conditions and the recent disruptions to and volatility in the credit and financial markets in the United States and worldwide resulting from political and economic uncertainty, geopolitical conflicts, rising inflation and interest rates, and other macroeconomic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Capital Requirements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obligations to licensors under license agreements and our obligations related to grants received from government entities require us to make future payments, such as sublicense fees, milestone payments, redemption fees, royalty fees and patent maintenance fees.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13 (Commitment and Contingencies) for additional information. Royalties, including those related to royalties we may receive under the Roche Agreement, are payable to licensors or government entities based on a percentage of net sales of licensed products. Patent maintenance fees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March 31, 2025, we had not included these commitments on our consolidated balance sheet because the achievement of events that would trigger our payment obligations and the timing thereof were not fixed and determinable.</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describe our significant accounting policies in Note 2 to the consolidated financial statements in Item 8 of the 2024 10-K. There have been no changes to our significant accounting policies during the three months ended March 31, 2025.</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67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ASU 2023-07 is effective for fiscal years beginning after December 15, 2023 and interim periods within fiscal years beginning after December 15, 2024 and its adoption did not have a significant impact on our consolidated financial statements.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ind w:firstLine="67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Disaggregation of Income Statement Expenses (“ASU 2024-03”). The purpose of ASU 2024-03 is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SG&amp;A, and research and development) ASU 2024-03 is effective for fiscal years beginning after December 15, 2026 and interim periods within fiscal years beginning after December 15, 2027. Early adoption is permitted. We are currently assessing the impact that this new guidance will have on our consolidated financial statements.</w:t>
      </w:r>
    </w:p>
    <w:p>
      <w:pPr>
        <w:spacing w:after="0" w:line="187" w:lineRule="exact"/>
        <w:rPr>
          <w:sz w:val="20"/>
          <w:szCs w:val="20"/>
          <w:color w:val="auto"/>
        </w:rPr>
      </w:pPr>
    </w:p>
    <w:p>
      <w:pPr>
        <w:jc w:val="both"/>
        <w:ind w:firstLine="67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annual periods beginning in fiscal year 2025 and will be applied prospectively, but retrospective application is permitted. We are currently evaluating the impact of ASU 2023-09 on the consolidated financial statements and related disclosures.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disaggregated revenues were as follows for the periods presented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under collaborative agreements</w:t>
            </w:r>
          </w:p>
        </w:tc>
        <w:tc>
          <w:tcPr>
            <w:tcW w:w="9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Upfront license fees </w:t>
            </w:r>
            <w:r>
              <w:rPr>
                <w:rFonts w:ascii="Times New Roman" w:cs="Times New Roman" w:eastAsia="Times New Roman" w:hAnsi="Times New Roman"/>
                <w:sz w:val="24"/>
                <w:szCs w:val="24"/>
                <w:color w:val="auto"/>
                <w:vertAlign w:val="superscript"/>
              </w:rPr>
              <w:t>(1)</w:t>
            </w:r>
          </w:p>
        </w:tc>
        <w:tc>
          <w:tcPr>
            <w:tcW w:w="900" w:type="dxa"/>
            <w:vAlign w:val="bottom"/>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1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 under collaborative agreements</w:t>
            </w:r>
          </w:p>
        </w:tc>
        <w:tc>
          <w:tcPr>
            <w:tcW w:w="9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FF0FC"/>
          </w:tcPr>
          <w:p>
            <w:pPr>
              <w:spacing w:after="0"/>
              <w:rPr>
                <w:sz w:val="18"/>
                <w:szCs w:val="18"/>
                <w:color w:val="auto"/>
              </w:rPr>
            </w:pPr>
          </w:p>
        </w:tc>
      </w:tr>
      <w:tr>
        <w:trPr>
          <w:trHeight w:val="297"/>
        </w:trPr>
        <w:tc>
          <w:tcPr>
            <w:tcW w:w="58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Royalties, license and other revenues </w:t>
            </w:r>
            <w:r>
              <w:rPr>
                <w:rFonts w:ascii="Times New Roman" w:cs="Times New Roman" w:eastAsia="Times New Roman" w:hAnsi="Times New Roman"/>
                <w:sz w:val="24"/>
                <w:szCs w:val="24"/>
                <w:color w:val="auto"/>
                <w:vertAlign w:val="superscript"/>
              </w:rPr>
              <w:t>(2)</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4"/>
                <w:szCs w:val="24"/>
                <w:color w:val="auto"/>
              </w:rPr>
            </w:pPr>
          </w:p>
        </w:tc>
      </w:tr>
      <w:tr>
        <w:trPr>
          <w:trHeight w:val="34"/>
        </w:trPr>
        <w:tc>
          <w:tcPr>
            <w:tcW w:w="5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580" w:type="dxa"/>
            <w:vAlign w:val="bottom"/>
          </w:tcPr>
          <w:p>
            <w:pPr>
              <w:spacing w:after="0"/>
              <w:rPr>
                <w:sz w:val="22"/>
                <w:szCs w:val="22"/>
                <w:color w:val="auto"/>
              </w:rPr>
            </w:pPr>
          </w:p>
        </w:tc>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shd w:val="clear" w:color="auto" w:fill="CFF0FC"/>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16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FF0FC"/>
          </w:tcPr>
          <w:p>
            <w:pPr>
              <w:spacing w:after="0"/>
              <w:rPr>
                <w:sz w:val="22"/>
                <w:szCs w:val="22"/>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420" w:type="dxa"/>
            <w:vAlign w:val="bottom"/>
            <w:tcBorders>
              <w:top w:val="single" w:sz="8" w:color="CFF0FC"/>
              <w:bottom w:val="single" w:sz="8" w:color="auto"/>
            </w:tcBorders>
          </w:tcPr>
          <w:p>
            <w:pPr>
              <w:spacing w:after="0"/>
              <w:rPr>
                <w:sz w:val="10"/>
                <w:szCs w:val="10"/>
                <w:color w:val="auto"/>
              </w:rPr>
            </w:pPr>
          </w:p>
        </w:tc>
        <w:tc>
          <w:tcPr>
            <w:tcW w:w="452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-119380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-102235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-119380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-102235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ind w:left="520" w:hanging="512"/>
        <w:spacing w:after="0" w:line="223" w:lineRule="auto"/>
        <w:tabs>
          <w:tab w:leader="none" w:pos="5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of the upfront license fee revenue recognized each period was included within deferred revenue as contract liabilities at the beginning of the period. This revenue originated from the $50.0 million upfront payment under the Roche Agreement.</w:t>
      </w:r>
    </w:p>
    <w:p>
      <w:pPr>
        <w:spacing w:after="0" w:line="23" w:lineRule="exact"/>
        <w:rPr>
          <w:rFonts w:ascii="Times New Roman" w:cs="Times New Roman" w:eastAsia="Times New Roman" w:hAnsi="Times New Roman"/>
          <w:sz w:val="24"/>
          <w:szCs w:val="24"/>
          <w:color w:val="auto"/>
          <w:vertAlign w:val="superscript"/>
        </w:rPr>
      </w:pPr>
    </w:p>
    <w:p>
      <w:pPr>
        <w:ind w:left="520" w:hanging="512"/>
        <w:spacing w:after="0" w:line="223" w:lineRule="auto"/>
        <w:tabs>
          <w:tab w:leader="none" w:pos="5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the royalties, license and other revenues recognized each period, $9,000 and $30,000 was included within deferred revenues as contract liabilities as of January 1, 2025 and 2024, respectively.</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recognizing the $50.0 million upfront payment under the Roche Agreement utilizing an input method of costs incurred over total estimated costs to be incurred. At each reporting period, we update our total estimated collaboration costs, and any resulting adjustments are recorded on a cumulative basis which would affect revenue and deferred revenue in the period of adjustment. We believe the input methodology represents the most appropriate measure of progress towards satisfaction of the identified performance obligations.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contracts with customers, including collaboration partners which are within the scope of ASU 2014-09 – Revenue from Contracts with Customers (Topic 606), the aggregate amount of the transaction price allocated to remaining performance obligations as of March 31, 2025 was $24.2 million, of which $20.5 million is reported as deferred revenues. The $24.2 million is expected to be substantially converted to revenue by December 2026.</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net, and deferred revenues (contract liabilities) from contracts with customers, including collaboration partners, consisted of the following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Accounts receivable, net - beginning of the year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6"/>
                <w:szCs w:val="16"/>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64"/>
        </w:trPr>
        <w:tc>
          <w:tcPr>
            <w:tcW w:w="6940" w:type="dxa"/>
            <w:vAlign w:val="bottom"/>
            <w:vMerge w:val="continue"/>
          </w:tcPr>
          <w:p>
            <w:pPr>
              <w:spacing w:after="0"/>
              <w:rPr>
                <w:sz w:val="14"/>
                <w:szCs w:val="14"/>
                <w:color w:val="auto"/>
              </w:rPr>
            </w:pPr>
          </w:p>
        </w:tc>
        <w:tc>
          <w:tcPr>
            <w:tcW w:w="16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638</w:t>
            </w:r>
          </w:p>
        </w:tc>
        <w:tc>
          <w:tcPr>
            <w:tcW w:w="260" w:type="dxa"/>
            <w:vAlign w:val="bottom"/>
          </w:tcPr>
          <w:p>
            <w:pPr>
              <w:spacing w:after="0"/>
              <w:rPr>
                <w:sz w:val="14"/>
                <w:szCs w:val="14"/>
                <w:color w:val="auto"/>
              </w:rPr>
            </w:pPr>
          </w:p>
        </w:tc>
        <w:tc>
          <w:tcPr>
            <w:tcW w:w="12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Accounts receivable, net - end of the period </w:t>
            </w:r>
            <w:r>
              <w:rPr>
                <w:rFonts w:ascii="Times New Roman" w:cs="Times New Roman" w:eastAsia="Times New Roman" w:hAnsi="Times New Roman"/>
                <w:sz w:val="24"/>
                <w:szCs w:val="24"/>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9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revenues - beginning of the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revenues - end of the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-736600</wp:posOffset>
            </wp:positionV>
            <wp:extent cx="641223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0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Excludes grants receivable which are outside the scope of ASU 2014-09.</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marketable securities held by the Company and their location in the Company’s condensed consolidated balance sheet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4"/>
        </w:trPr>
        <w:tc>
          <w:tcPr>
            <w:tcW w:w="58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 within cash and cash equivalents</w:t>
            </w:r>
          </w:p>
        </w:tc>
        <w:tc>
          <w:tcPr>
            <w:tcW w:w="2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Included within marketable securities</w:t>
            </w:r>
          </w:p>
        </w:tc>
        <w:tc>
          <w:tcPr>
            <w:tcW w:w="2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Included within marketable securities</w:t>
            </w:r>
          </w:p>
        </w:tc>
        <w:tc>
          <w:tcPr>
            <w:tcW w:w="2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Debt Securities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available-for-sale debt securities classified within cash and cash equivalents and within marketable securities in the Company’s condensed consolidated balance sheet for the periods presented (in thousands):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Pr>
          <w:p>
            <w:pPr>
              <w:spacing w:after="0"/>
              <w:rPr>
                <w:sz w:val="10"/>
                <w:szCs w:val="10"/>
                <w:color w:val="auto"/>
              </w:rPr>
            </w:pPr>
          </w:p>
        </w:tc>
        <w:tc>
          <w:tcPr>
            <w:tcW w:w="11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0"/>
                <w:szCs w:val="10"/>
                <w:color w:val="auto"/>
              </w:rPr>
            </w:pPr>
          </w:p>
        </w:tc>
        <w:tc>
          <w:tcPr>
            <w:tcW w:w="900" w:type="dxa"/>
            <w:vAlign w:val="bottom"/>
          </w:tcPr>
          <w:p>
            <w:pPr>
              <w:jc w:val="center"/>
              <w:ind w:left="79"/>
              <w:spacing w:after="0" w:line="12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22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Pr>
          <w:p>
            <w:pPr>
              <w:spacing w:after="0"/>
              <w:rPr>
                <w:sz w:val="10"/>
                <w:szCs w:val="10"/>
                <w:color w:val="auto"/>
              </w:rPr>
            </w:pPr>
          </w:p>
        </w:tc>
        <w:tc>
          <w:tcPr>
            <w:tcW w:w="11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0"/>
                <w:szCs w:val="10"/>
                <w:color w:val="auto"/>
              </w:rPr>
            </w:pPr>
          </w:p>
        </w:tc>
        <w:tc>
          <w:tcPr>
            <w:tcW w:w="900" w:type="dxa"/>
            <w:vAlign w:val="bottom"/>
          </w:tcPr>
          <w:p>
            <w:pPr>
              <w:jc w:val="center"/>
              <w:ind w:left="79"/>
              <w:spacing w:after="0" w:line="12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22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-950595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-950595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-950595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-950595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not recognized an allowance for credit losses on any securities in an unrealized loss position as of March 31, 2025 or December 31, 2024. The Company believes that any individual unrealized losses represent temporary declines resulting from changes in interest rates, and we intend to hold these marketable debt securities to their maturity.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 amortized cost and estimated fair value of the Company’s available-for-sale debt securities by contractual maturity are shown below (in thousands):</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Available-for-sale debt securities maturing:</w:t>
            </w:r>
          </w:p>
        </w:tc>
        <w:tc>
          <w:tcPr>
            <w:tcW w:w="120" w:type="dxa"/>
            <w:vAlign w:val="bottom"/>
          </w:tcPr>
          <w:p>
            <w:pPr>
              <w:spacing w:after="0"/>
              <w:rPr>
                <w:sz w:val="13"/>
                <w:szCs w:val="13"/>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73"/>
        </w:trPr>
        <w:tc>
          <w:tcPr>
            <w:tcW w:w="504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one year or less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-170815</wp:posOffset>
            </wp:positionV>
            <wp:extent cx="43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equity securities are reported at fair value with unrealized gains and losses related to mark-to-market adjustments included in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Lineage’s marketable equity securities have consisted of shares of common stock of OncoCyte Corporation (“OCX”) and of Hadasit Bio-Holdings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(“HBL”). All share prices are determined based on the closing price of OCX and HBL common stock on the last trading day of the applicable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Lineage has not owned any shares of OCX since June 30, 2024.</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realized and unrealized loss on marketable equity securities for the periods presented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980" w:type="dxa"/>
            <w:vAlign w:val="bottom"/>
            <w:tcBorders>
              <w:bottom w:val="single" w:sz="8" w:color="auto"/>
            </w:tcBorders>
            <w:gridSpan w:val="5"/>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marketable equity securities, net</w:t>
            </w:r>
          </w:p>
        </w:tc>
        <w:tc>
          <w:tcPr>
            <w:tcW w:w="3580" w:type="dxa"/>
            <w:vAlign w:val="bottom"/>
            <w:gridSpan w:val="2"/>
            <w:shd w:val="clear" w:color="auto" w:fill="CFF0FC"/>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Loss recognized in earnings on marketable equity securities sold</w:t>
            </w:r>
          </w:p>
        </w:tc>
        <w:tc>
          <w:tcPr>
            <w:tcW w:w="24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Unrealized loss recognized on marketable equity securities held at</w:t>
            </w:r>
          </w:p>
        </w:tc>
        <w:tc>
          <w:tcPr>
            <w:tcW w:w="3580" w:type="dxa"/>
            <w:vAlign w:val="bottom"/>
            <w:gridSpan w:val="2"/>
            <w:vMerge w:val="restart"/>
            <w:shd w:val="clear" w:color="auto" w:fill="CFF0FC"/>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vMerge w:val="restart"/>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end of period, net</w:t>
            </w:r>
          </w:p>
        </w:tc>
        <w:tc>
          <w:tcPr>
            <w:tcW w:w="3580" w:type="dxa"/>
            <w:vAlign w:val="bottom"/>
            <w:gridSpan w:val="2"/>
            <w:vMerge w:val="continue"/>
            <w:shd w:val="clear" w:color="auto" w:fill="CFF0FC"/>
          </w:tcPr>
          <w:p>
            <w:pPr>
              <w:spacing w:after="0"/>
              <w:rPr>
                <w:sz w:val="20"/>
                <w:szCs w:val="20"/>
                <w:color w:val="auto"/>
              </w:rPr>
            </w:pPr>
          </w:p>
        </w:tc>
        <w:tc>
          <w:tcPr>
            <w:tcW w:w="580" w:type="dxa"/>
            <w:vAlign w:val="bottom"/>
            <w:gridSpan w:val="2"/>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300" w:type="dxa"/>
            <w:vAlign w:val="bottom"/>
            <w:tcBorders>
              <w:top w:val="single" w:sz="8" w:color="CFF0FC"/>
            </w:tcBorders>
          </w:tcPr>
          <w:p>
            <w:pPr>
              <w:spacing w:after="0"/>
              <w:rPr>
                <w:sz w:val="24"/>
                <w:szCs w:val="24"/>
                <w:color w:val="auto"/>
              </w:rPr>
            </w:pPr>
          </w:p>
        </w:tc>
        <w:tc>
          <w:tcPr>
            <w:tcW w:w="244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including finance leases, are stated at cost, net of accumulated depreciation and amortization. The cost of property and equipment is depreciated or amortized using the straight-line method over the estimated useful life of the asset, ranging from 3 to 10 years. Finance lease right-of-use assets are amortized over the lease term. Leasehold improvements are amortized over the shorter of the useful life or the lease term.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2025 and December 31, 2024, property and equipment, net was comprised of the following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r>
      <w:tr>
        <w:trPr>
          <w:trHeight w:val="215"/>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 finance lease</w:t>
            </w: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(4,384)</w:t>
            </w: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FF0FC"/>
          </w:tcPr>
          <w:p>
            <w:pPr>
              <w:spacing w:after="0"/>
              <w:rPr>
                <w:sz w:val="19"/>
                <w:szCs w:val="19"/>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$164,000 and $153,000 for the three months ended March 31, 2025 and 2024, respectively. These amounts include amortization expense for right-of-use finance lease assets of $14,000 for each of the three months ended March 31,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2025 and December 31, 2024, goodwill and intangible assets, net consisted of the following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080" w:type="dxa"/>
            <w:vAlign w:val="bottom"/>
            <w:shd w:val="clear" w:color="auto" w:fill="CFF0FC"/>
          </w:tcPr>
          <w:p>
            <w:pPr>
              <w:spacing w:after="0" w:line="214"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4"/>
                <w:szCs w:val="24"/>
                <w:color w:val="auto"/>
                <w:vertAlign w:val="superscript"/>
              </w:rPr>
              <w:t>(1)</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Acquired IPR&amp;D – OPC1 (from the Asterias Merger) </w:t>
            </w:r>
            <w:r>
              <w:rPr>
                <w:rFonts w:ascii="Times New Roman" w:cs="Times New Roman" w:eastAsia="Times New Roman" w:hAnsi="Times New Roman"/>
                <w:sz w:val="24"/>
                <w:szCs w:val="24"/>
                <w:color w:val="auto"/>
                <w:vertAlign w:val="superscript"/>
              </w:rPr>
              <w:t>(2)</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Acquired IPR&amp;D – VAC (from the Asterias Merger) </w:t>
            </w:r>
            <w:r>
              <w:rPr>
                <w:rFonts w:ascii="Times New Roman" w:cs="Times New Roman" w:eastAsia="Times New Roman" w:hAnsi="Times New Roman"/>
                <w:sz w:val="24"/>
                <w:szCs w:val="24"/>
                <w:color w:val="auto"/>
                <w:vertAlign w:val="superscript"/>
              </w:rPr>
              <w:t>(2)</w:t>
            </w: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patents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Acquired royalty contracts </w:t>
            </w:r>
            <w:r>
              <w:rPr>
                <w:rFonts w:ascii="Times New Roman" w:cs="Times New Roman" w:eastAsia="Times New Roman" w:hAnsi="Times New Roman"/>
                <w:sz w:val="24"/>
                <w:szCs w:val="24"/>
                <w:color w:val="auto"/>
                <w:vertAlign w:val="superscript"/>
              </w:rPr>
              <w:t>(3)</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Accumulated amortization </w:t>
            </w:r>
            <w:r>
              <w:rPr>
                <w:rFonts w:ascii="Times New Roman" w:cs="Times New Roman" w:eastAsia="Times New Roman" w:hAnsi="Times New Roman"/>
                <w:sz w:val="24"/>
                <w:szCs w:val="24"/>
                <w:color w:val="auto"/>
                <w:vertAlign w:val="superscript"/>
              </w:rPr>
              <w:t>(4)</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(19,603)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5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-1542415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-1525270</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-1542415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-1525270</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-359410</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-359410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jc w:val="both"/>
        <w:ind w:left="520" w:hanging="512"/>
        <w:spacing w:after="0" w:line="231" w:lineRule="auto"/>
        <w:tabs>
          <w:tab w:leader="none" w:pos="5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and liabilities assumed in connection with our acquisition of Asterias Biotherapeutics, Inc. (“Asterias”) in March 2019 (the “Asterias Merger”). To date, we have not recognized any goodwill impairment.</w:t>
      </w:r>
    </w:p>
    <w:p>
      <w:pPr>
        <w:spacing w:after="0" w:line="37" w:lineRule="exact"/>
        <w:rPr>
          <w:rFonts w:ascii="Times New Roman" w:cs="Times New Roman" w:eastAsia="Times New Roman" w:hAnsi="Times New Roman"/>
          <w:sz w:val="24"/>
          <w:szCs w:val="24"/>
          <w:color w:val="auto"/>
          <w:vertAlign w:val="superscript"/>
        </w:rPr>
      </w:pPr>
    </w:p>
    <w:p>
      <w:pPr>
        <w:jc w:val="both"/>
        <w:ind w:left="520" w:hanging="512"/>
        <w:spacing w:after="0" w:line="231" w:lineRule="auto"/>
        <w:tabs>
          <w:tab w:leader="none" w:pos="5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Asterias had two IPR&amp;D intangible assets that were valued at $46.5 million as part of the purchase price allocation that was performed in connection with the Asterias Merger. The fair value of these assets at the acquisition date consisted of $31.7 million pertaining to the OPC1 program and $14.8 million pertaining to the VAC platform.</w:t>
      </w:r>
    </w:p>
    <w:p>
      <w:pPr>
        <w:spacing w:after="0" w:line="37" w:lineRule="exact"/>
        <w:rPr>
          <w:rFonts w:ascii="Times New Roman" w:cs="Times New Roman" w:eastAsia="Times New Roman" w:hAnsi="Times New Roman"/>
          <w:sz w:val="24"/>
          <w:szCs w:val="24"/>
          <w:color w:val="auto"/>
          <w:vertAlign w:val="superscript"/>
        </w:rPr>
      </w:pPr>
    </w:p>
    <w:p>
      <w:pPr>
        <w:jc w:val="both"/>
        <w:ind w:left="520" w:hanging="512"/>
        <w:spacing w:after="0" w:line="231" w:lineRule="auto"/>
        <w:tabs>
          <w:tab w:leader="none" w:pos="5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Asterias had royalty cash flows under patent families it acquired from Geron Corporation. Such patent families are expected to continue to generate revenue, are not used in the OPC1 or the VAC platform, and are considered to be separate intangible assets under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234" w:lineRule="auto"/>
        <w:tabs>
          <w:tab w:leader="none" w:pos="5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acquired patents and acquired royalty contracts were fully amortized as of the end of the first quarter of 2024.</w:t>
      </w:r>
    </w:p>
    <w:p>
      <w:pPr>
        <w:spacing w:after="0" w:line="1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Lineage recognized $0 and $22,000 in amortization expense of intangible assets during the three months ended March 31, 2025 and 2024, respectively.</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Payable and 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2025 and December 31, 2024, accounts payable and accrued liabilities consist of the following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r>
      <w:tr>
        <w:trPr>
          <w:trHeight w:val="214"/>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68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8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CFF0FC"/>
          </w:tcPr>
          <w:p>
            <w:pPr>
              <w:spacing w:after="0"/>
              <w:rPr>
                <w:sz w:val="18"/>
                <w:szCs w:val="18"/>
                <w:color w:val="auto"/>
              </w:rPr>
            </w:pPr>
          </w:p>
        </w:tc>
      </w:tr>
      <w:tr>
        <w:trPr>
          <w:trHeight w:val="209"/>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in accordance with (ASC 820-10-50),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for identical assets or liabilities in active markets.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that are unobservable. Unobservable inputs are those in which little or no market data exists, reflect those that a market participant would use, and are therefore determined using estimates and assumptions developed by the Company.</w:t>
      </w:r>
    </w:p>
    <w:p>
      <w:pPr>
        <w:spacing w:after="0" w:line="16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transferred any instruments between the three levels of the fair value hierarchy.</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carrying value of cash, restricted cash, accounts receivable, accounts payable, and accrued liabilities approximate their respective fair values due to their relative short maturities. We measure our cash equivalents, marketable securities and our liability classified warrants at fair value on a recurring basis. The fair values of such assets and liabilities were as follows as of March 31, 2025 and December 31, 2024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7"/>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2"/>
                <w:szCs w:val="12"/>
                <w:color w:val="auto"/>
              </w:rPr>
            </w:pPr>
          </w:p>
        </w:tc>
        <w:tc>
          <w:tcPr>
            <w:tcW w:w="10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0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Money market fund </w:t>
            </w:r>
            <w:r>
              <w:rPr>
                <w:rFonts w:ascii="Times New Roman" w:cs="Times New Roman" w:eastAsia="Times New Roman" w:hAnsi="Times New Roman"/>
                <w:sz w:val="24"/>
                <w:szCs w:val="24"/>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Marketable debt securities </w:t>
            </w:r>
            <w:r>
              <w:rPr>
                <w:rFonts w:ascii="Times New Roman" w:cs="Times New Roman" w:eastAsia="Times New Roman" w:hAnsi="Times New Roman"/>
                <w:sz w:val="24"/>
                <w:szCs w:val="24"/>
                <w:color w:val="auto"/>
                <w:vertAlign w:val="superscript"/>
              </w:rPr>
              <w:t>(1)</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Marketable equity securities </w:t>
            </w:r>
            <w:r>
              <w:rPr>
                <w:rFonts w:ascii="Times New Roman" w:cs="Times New Roman" w:eastAsia="Times New Roman" w:hAnsi="Times New Roman"/>
                <w:sz w:val="24"/>
                <w:szCs w:val="24"/>
                <w:color w:val="auto"/>
                <w:vertAlign w:val="superscript"/>
              </w:rPr>
              <w:t>(2)</w:t>
            </w: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Warrant liabilities </w:t>
            </w:r>
            <w:r>
              <w:rPr>
                <w:rFonts w:ascii="Times New Roman" w:cs="Times New Roman" w:eastAsia="Times New Roman" w:hAnsi="Times New Roman"/>
                <w:sz w:val="24"/>
                <w:szCs w:val="24"/>
                <w:color w:val="auto"/>
                <w:vertAlign w:val="superscript"/>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47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-1388110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-1388110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-1388110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-1388110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-796290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-779145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-796290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-779145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-796290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-779145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-796290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-779145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7"/>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2"/>
                <w:szCs w:val="12"/>
                <w:color w:val="auto"/>
              </w:rPr>
            </w:pPr>
          </w:p>
        </w:tc>
        <w:tc>
          <w:tcPr>
            <w:tcW w:w="10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0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Money market fund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Marketable debt securities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Borders>
              <w:bottom w:val="single" w:sz="8" w:color="CFF0FC"/>
            </w:tcBorders>
            <w:gridSpan w:val="2"/>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Marketable equity securities </w:t>
            </w:r>
            <w:r>
              <w:rPr>
                <w:rFonts w:ascii="Times New Roman" w:cs="Times New Roman" w:eastAsia="Times New Roman" w:hAnsi="Times New Roman"/>
                <w:sz w:val="24"/>
                <w:szCs w:val="24"/>
                <w:color w:val="auto"/>
                <w:vertAlign w:val="superscript"/>
              </w:rPr>
              <w:t>(2)</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7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Warrant liabilities </w:t>
            </w:r>
            <w:r>
              <w:rPr>
                <w:rFonts w:ascii="Times New Roman" w:cs="Times New Roman" w:eastAsia="Times New Roman" w:hAnsi="Times New Roman"/>
                <w:sz w:val="24"/>
                <w:szCs w:val="24"/>
                <w:color w:val="auto"/>
                <w:vertAlign w:val="superscript"/>
              </w:rPr>
              <w:t>(3)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420" w:type="dxa"/>
            <w:vAlign w:val="bottom"/>
            <w:tcBorders>
              <w:top w:val="single" w:sz="8" w:color="CFF0FC"/>
              <w:bottom w:val="single" w:sz="8" w:color="auto"/>
            </w:tcBorders>
          </w:tcPr>
          <w:p>
            <w:pPr>
              <w:spacing w:after="0"/>
              <w:rPr>
                <w:sz w:val="10"/>
                <w:szCs w:val="10"/>
                <w:color w:val="auto"/>
              </w:rPr>
            </w:pPr>
          </w:p>
        </w:tc>
        <w:tc>
          <w:tcPr>
            <w:tcW w:w="236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-710565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-710565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-710565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-710565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-119380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-102235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-119380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-102235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-119380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-102235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-119380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-102235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 w:lineRule="exact"/>
        <w:rPr>
          <w:sz w:val="20"/>
          <w:szCs w:val="20"/>
          <w:color w:val="auto"/>
        </w:rPr>
      </w:pPr>
    </w:p>
    <w:p>
      <w:pPr>
        <w:ind w:left="520" w:hanging="512"/>
        <w:spacing w:after="0" w:line="223" w:lineRule="auto"/>
        <w:tabs>
          <w:tab w:leader="none" w:pos="5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Included in cash and cash equivalents in the accompanying condensed consolidated balance sheet. Marketable debt securities purchased with an original maturity of three months or less have been classified as cash equivalents.</w:t>
      </w:r>
    </w:p>
    <w:p>
      <w:pPr>
        <w:spacing w:after="0" w:line="37" w:lineRule="exact"/>
        <w:rPr>
          <w:rFonts w:ascii="Times New Roman" w:cs="Times New Roman" w:eastAsia="Times New Roman" w:hAnsi="Times New Roman"/>
          <w:sz w:val="24"/>
          <w:szCs w:val="24"/>
          <w:color w:val="auto"/>
          <w:vertAlign w:val="superscript"/>
        </w:rPr>
      </w:pPr>
    </w:p>
    <w:p>
      <w:pPr>
        <w:jc w:val="both"/>
        <w:ind w:left="520" w:hanging="512"/>
        <w:spacing w:after="0" w:line="236" w:lineRule="auto"/>
        <w:tabs>
          <w:tab w:leader="none" w:pos="5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Lineage’s marketable equity securities include the shares of stock of OCX and HBL. Both securities have readily determinable fair values quoted on the NASDAQ or TASE (Level 1). These securities are measured at fair value and reported as current assets on the accompanying condensed consolidated balance sheet based on the closing trading price of the security as of the date being presented. Lineage has not owned any shares of OCX since June 30, 2024.</w:t>
      </w:r>
    </w:p>
    <w:p>
      <w:pPr>
        <w:spacing w:after="0" w:line="36" w:lineRule="exact"/>
        <w:rPr>
          <w:rFonts w:ascii="Times New Roman" w:cs="Times New Roman" w:eastAsia="Times New Roman" w:hAnsi="Times New Roman"/>
          <w:sz w:val="24"/>
          <w:szCs w:val="24"/>
          <w:color w:val="auto"/>
          <w:vertAlign w:val="superscript"/>
        </w:rPr>
      </w:pPr>
    </w:p>
    <w:p>
      <w:pPr>
        <w:jc w:val="both"/>
        <w:ind w:left="520" w:hanging="512"/>
        <w:spacing w:after="0" w:line="238" w:lineRule="auto"/>
        <w:tabs>
          <w:tab w:leader="none" w:pos="5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Liability-classified warrants are valued using a Black-Scholes option pricing model that maximizes the use of observable inputs and minimizes the use of unobservable inputs to the extent possible at issuance, and at each reporting period end date while the warrants are outstanding. Changes in the fair value of liability-classified warrants are recorded in the condensed consolidated statements of operations, and reflected as an adjustment to reconcile net loss to net cash used in operating activities in the condensed consolidated statements of cash flows. A significant increase or decrease in these Level 3 inputs could result in a significantly higher or lower fair value measurement.</w:t>
      </w:r>
    </w:p>
    <w:p>
      <w:pPr>
        <w:spacing w:after="0" w:line="201" w:lineRule="exact"/>
        <w:rPr>
          <w:sz w:val="20"/>
          <w:szCs w:val="20"/>
          <w:color w:val="auto"/>
        </w:rPr>
      </w:pPr>
    </w:p>
    <w:p>
      <w:pPr>
        <w:jc w:val="both"/>
        <w:ind w:left="760"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to Level 3 fair value measurements for the three months ended March 31, 2025 (in thousands):</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 Share</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Warrant Liabilities</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Issued</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Change in fair value of warrant liability recognized in the</w:t>
            </w:r>
          </w:p>
        </w:tc>
        <w:tc>
          <w:tcPr>
            <w:tcW w:w="180" w:type="dxa"/>
            <w:vAlign w:val="bottom"/>
            <w:shd w:val="clear" w:color="auto" w:fill="CFF0FC"/>
          </w:tcPr>
          <w:p>
            <w:pPr>
              <w:spacing w:after="0"/>
              <w:rPr>
                <w:sz w:val="17"/>
                <w:szCs w:val="17"/>
                <w:color w:val="auto"/>
              </w:rPr>
            </w:pPr>
          </w:p>
        </w:tc>
        <w:tc>
          <w:tcPr>
            <w:tcW w:w="16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21"/>
        </w:trPr>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80" w:type="dxa"/>
            <w:vAlign w:val="bottom"/>
            <w:shd w:val="clear" w:color="auto" w:fill="CFF0FC"/>
          </w:tcPr>
          <w:p>
            <w:pPr>
              <w:spacing w:after="0"/>
              <w:rPr>
                <w:sz w:val="19"/>
                <w:szCs w:val="19"/>
                <w:color w:val="auto"/>
              </w:rPr>
            </w:pPr>
          </w:p>
        </w:tc>
        <w:tc>
          <w:tcPr>
            <w:tcW w:w="16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jc w:val="both"/>
        <w:ind w:left="7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inputs - </w:t>
      </w:r>
      <w:r>
        <w:rPr>
          <w:rFonts w:ascii="Times New Roman" w:cs="Times New Roman" w:eastAsia="Times New Roman" w:hAnsi="Times New Roman"/>
          <w:sz w:val="18"/>
          <w:szCs w:val="18"/>
          <w:color w:val="auto"/>
        </w:rPr>
        <w:t>Significant assumptions used in valuing the warrant liabilities for the three months ended March 31, 2025, were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4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600" w:type="dxa"/>
            <w:vAlign w:val="bottom"/>
          </w:tcPr>
          <w:p>
            <w:pPr>
              <w:spacing w:after="0"/>
              <w:rPr>
                <w:sz w:val="15"/>
                <w:szCs w:val="15"/>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71.78% - 72.54%</w:t>
            </w:r>
          </w:p>
        </w:tc>
        <w:tc>
          <w:tcPr>
            <w:tcW w:w="8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- 4.25%</w:t>
            </w:r>
          </w:p>
        </w:tc>
        <w:tc>
          <w:tcPr>
            <w:tcW w:w="8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3.14 - 3.32</w:t>
            </w:r>
          </w:p>
        </w:tc>
        <w:tc>
          <w:tcPr>
            <w:tcW w:w="80" w:type="dxa"/>
            <w:vAlign w:val="bottom"/>
          </w:tcPr>
          <w:p>
            <w:pPr>
              <w:spacing w:after="0"/>
              <w:rPr>
                <w:sz w:val="20"/>
                <w:szCs w:val="20"/>
                <w:color w:val="auto"/>
              </w:rPr>
            </w:pPr>
          </w:p>
        </w:tc>
      </w:tr>
    </w:tbl>
    <w:p>
      <w:pPr>
        <w:spacing w:after="0" w:line="112" w:lineRule="exact"/>
        <w:rPr>
          <w:sz w:val="20"/>
          <w:szCs w:val="20"/>
          <w:color w:val="auto"/>
        </w:rPr>
      </w:pPr>
    </w:p>
    <w:p>
      <w:pPr>
        <w:jc w:val="both"/>
        <w:ind w:left="760" w:firstLine="509"/>
        <w:spacing w:after="0" w:line="254" w:lineRule="auto"/>
        <w:rPr>
          <w:sz w:val="20"/>
          <w:szCs w:val="20"/>
          <w:color w:val="auto"/>
        </w:rPr>
      </w:pPr>
      <w:r>
        <w:rPr>
          <w:rFonts w:ascii="Times New Roman" w:cs="Times New Roman" w:eastAsia="Times New Roman" w:hAnsi="Times New Roman"/>
          <w:sz w:val="18"/>
          <w:szCs w:val="18"/>
          <w:color w:val="auto"/>
        </w:rPr>
        <w:t>The expected stock price volatility assumption is determined using historical volatility of the Company’s common stock. The risk-free interest rate assumption is based on the U.S. Treasury yield curve whose term is consistent with the expected term of the stock options. The expected dividend yield is 0% as the Company has not paid and does not anticipate paying dividends on its common stock. At warrant issuance, the expected term represents the period from the warrant issuance to the earlier of (a) May 21, 2028, and (b) the 90th day following the date of the public disclosure of the intent to advance OpRegen (also</w:t>
      </w:r>
    </w:p>
    <w:p>
      <w:pPr>
        <w:sectPr>
          <w:pgSz w:w="11900" w:h="16838" w:orient="portrait"/>
          <w:cols w:equalWidth="0" w:num="1">
            <w:col w:w="11240"/>
          </w:cols>
          <w:pgMar w:left="320" w:top="981" w:right="339" w:bottom="1440" w:gutter="0" w:footer="0" w:header="0"/>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8" w:name="page19"/>
    <w:bookmarkEnd w:id="1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6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known as RG6501) into a multi-center phase 2 or 3 clinical trial which includes a control or comparator arm, or if the date of such public disclosure occurs prior to May 21, 2025, the 90th day following May 21, 2025, with each such 90-day period subject to extension if certain conditions, including equity conditions, some of which are outside of our control, are not satisfied. At each reporting period end date, the expected term is reduced to reflect the remaining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Broadwood Partners, L.P. (“Broadwood Partners”), an affiliate of Neal Bradsher, a member of our board of directors, purchased 6,730,770 common shares, and Don Bailey, a member of our board of directors, purchased 96,155 shares, from us in the February 2024 RDO (as such term is defined in Note 10 (Shareholders’ Equity)). See Note 10 (Shareholders’ Equity) for additional information regarding such offering.</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2025, Broadwood Partners purchased 7,894,737 common shares and an accompanying warrant to purchase up to 7,894,737 common shares from us in the November 2024 RDO (as such term is defined in Note 10 (Shareholders’ Equity)). See Note 10 (Shareholders’ Equity) for additional information regarding such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Lineage is authorized to issue 2,000,000 preferred shares, no par value.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There were no preferred shares issued or outstanding as of March 31, 2025 and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Lineage was authorized to issue 450,000,000 common shares, no par value. As of March 31, 2025 and December 31, 2024, there were 228,356,290 and 220,416,326 common shares issued and outstanding,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Program</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May 2020, Lineage entered into a Controlled Equity Offering</w:t>
      </w:r>
      <w:r>
        <w:rPr>
          <w:rFonts w:ascii="Times New Roman" w:cs="Times New Roman" w:eastAsia="Times New Roman" w:hAnsi="Times New Roman"/>
          <w:sz w:val="7"/>
          <w:szCs w:val="7"/>
          <w:color w:val="auto"/>
        </w:rPr>
        <w:t>SM</w:t>
      </w:r>
      <w:r>
        <w:rPr>
          <w:rFonts w:ascii="Times New Roman" w:cs="Times New Roman" w:eastAsia="Times New Roman" w:hAnsi="Times New Roman"/>
          <w:sz w:val="18"/>
          <w:szCs w:val="18"/>
          <w:color w:val="auto"/>
        </w:rPr>
        <w:t xml:space="preserve"> Sales Agreement (the “Prior Sales Agreement”) with Cantor Fitzgerald &amp; Co., as sales agent, pursuant to which Lineage could sell its common shares from time to time through an ATM program.</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2021, Lineage filed a prospectus supplement with the SEC in connection with the offer and sale of up to $64.1 million of common shares through the ATM program under the Prior Sales Agreement, which was updated, amended and supplemented by a prospectus supplement filed with the SEC on May 18, 2023 (the prospectus supplement filed in December 2021, as updated, amended and supplemented by the prospectus supplement filed in May 2023, the “Prior Prospectus Supplement”).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March 2024, Lineage terminated the Prior Sales Agreement and entered into a sales agreement (the “ATM Sales Agreement”) with B. Riley Securities, Inc., as sales agent (“Sales Agent”), under which Lineage may offer and sell its common shares from time to time through an ATM program.</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2024, Lineage filed a prospectus supplement with the SEC in connection with the offer and sale of $40.00 million of common shares through the ATM program under the ATM Sales Agreement which was updated, amended and supplemented by a prospectus supplement filed with the SEC on May 14, 2024 in connection with the offer and sale of $39.97 million of common shares through the ATM program under the ATM Sales Agreement (the prospectus supplement filed in March 2024, as updated, amended and supplemented by the prospectus supplement filed in May 2024, the “2024 Prospectus Supplement”).</w:t>
      </w:r>
    </w:p>
    <w:p>
      <w:pPr>
        <w:spacing w:after="0" w:line="18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Prior to its termination in March 2024, Lineage had sold 4,912,803 common shares under the Prior Prospectus Supplement at a weighted average price per share of $1.41 for gross proceeds of $6.9 million. During the three months ended March 31, 2024, Lineage sold 30,000 common shares under the Prior Prospectus Supplement at a weighted average price per share of $1.23 for gross proceeds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$37,000. During the three months ended June 30, 2024, Lineage sold 25,830 common shares under the 2024 Prospectus Supplement at a weighted average price per share of $1.30 for gross proceeds of $33,000. Lineage did not sell any common shares under the 2024 Prospectus Supplement during the six months ended December 31, 2024 or the three months ended March 31, 2025. As of March 31, 2025, $39.97 million remained available for sale under the 2024 Prospectus Supplement.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shares offered under the 2024 Prospectus Supplement are registered pursuant to Lineage’s effective shelf registration statement on Form S-3 (File No. 333-277758), which was filed with the SEC on March 7, 2024 and declared effective on May 14, 2024.</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Lineage agreed to pay Sales Agent a commission of up to 3.0% of the aggregate gross proceeds from the sale of shares under the ATM Sales Agreement, reimburse its legal fees and disbursements, and provide Sales Agent with customary indemnification and contribution rights. The Sales Agreement may be terminated by Sales Agent or Lineage at any time upon notice to the other party, or by Sales Agent at any time in certain circumstances, including the occurrence of a material and adverse change in Lineage’s business or financial condition that makes it impractical or inadvisable to market the shares or to enforce contracts for the sale of the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Registered Direct Offering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6, 2024, Lineage entered into a stock purchase agreement with certain investors relating to the purchase and sale in a registered direct offering of an aggregate of 13,461,540 of Lineage’s common shares (the “February 2024 RDO”). The offering price was $1.04 per common share. The offering closed on February 8, 2024 with gross proceeds of $14.0 million. Finance related fees for this offering totaled approximately $0.1 million. See Note 9 (Related Party Transactions) for shares issued in this offering to a related party.</w:t>
      </w:r>
    </w:p>
    <w:p>
      <w:pPr>
        <w:spacing w:after="0" w:line="180"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8"/>
          <w:szCs w:val="18"/>
          <w:color w:val="auto"/>
        </w:rPr>
        <w:t>The purchase and sale of our common shares in the February 2024 RDO was made pursuant to the registration statement on Form S-3 (File No. 333-254167), which was filed with the SEC on March 5, 2021 and declared effective on March 19, 2021.</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2024 Registered Direct Offering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19, 2024, we entered into securities purchase agreements with unaffiliated healthcare focused institutional investors and with Broadwood Partners relating to the purchase and sale in a registered direct offering of an aggregate of up to 39,473,688 of our common shares and accompanying warrants to purchase an aggregate of up to 39,473,688 of our common shares at a combined purchase price of $0.76 per common share and accompanying warrant (the “November 2024 RDO”).</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21, 2024, we closed the first tranche of the offering and in connection therewith we issued to the unaffiliated healthcare focused institutional investors an aggregate of 31,578,951 common shares and accompanying warrants to purchase an aggregate of up to 31,578,951 of our common shares at a combined purchase price of $0.76 per common share and accompanying warrant. The warrants have an exercise price of $0.91 per common share and will be exercisable beginning May 21, 2025 and will expire on the earlier of (a) May 21, 2028, and (b) the 90th day following the date of the public disclosure of the intent to advance OpRegen® (also known as RG6501) into a multi-center phase 2 or 3 clinical trial which includes a control or comparator arm, or if the date of such public disclosure occurs prior to May 21, 2025, the 90th day following May 21, 2025, with each such 90-day period subject to extension if certain conditions, including equity conditions, some of which are outside of our control, are not satisfied. The warrants also provide for cashless exercise in certain circumstances, including if the shares issuable upon exercise thereof are not covered by an effective registration statement. The aggregate gross proceeds from this closing was $24 million, with $2.3 million for related issuance costs. The warrants issued at this closing had a fair value of approximately $7.9 million at issuance and are classified as warrant liabilities in the Company’s condensed consolidated interim financial statements. See Note 8 (Fair Value Measurements) for additional information.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offering of the securities to Broadwood Partners was subject to obtaining shareholder approval to satisfy applicable NYSE American rules, which was obtained at our special meeting of shareholders on January 27, 2025. Following such meeting, we closed the second tranche of the offering and in connection therewith we issued to Broadwood Partners 7,894,737 common shares and an accompanying warrant to purchase an aggregate of up to 7,894,737 common shares, at a combined purchase price of $0.76 per common share and accompanying warrant. The terms of such warrant are substantially the same as those described above. The aggregate gross proceeds from this closing was $6 million, with approximately $0.6 million for related issuance costs. The warrant issued to Broadwood Partners at this closing had a fair value of approximately $2.1 million at issuance and is classified as a warrant liability in the Company’s condensed consolidated interim financial statements. See Note 8 (Fair Value Measurements) for additional information. See Note 9 (Related Party Transactions) for securities issued in this offering to a related party.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entered into an engagement letter with H.C. Wainwright &amp; Co., LLC (“Wainwright”), pursuant to which Wainwright agreed to serve as our exclusive placement agent, on a reasonable best efforts basis, in connection with the November 2024 RDO. Pursuant to the engagement letter, we paid Wainwright a cash fee equal to 7% of the aggregate gross proceeds and a management fee equal to 1.0% of the aggregate gross proceeds we received at each closing. In addition, at each closing, we issued to Wainwright (or its designees) warrants to purchase our common shares with terms that are substantially similar to those described above except that the warrants issued to Wainwright (or its designees) have an exercise price of $0.95 per share. In the aggregate we issued to Wainwright (or its designees) warrants to purchase 1,973,684 of our common shares. The warrants issued to Wainwright (or its designees) in connection with the first and second closings had a fair value of approximately $0.4 million and $0.1 million, respectively, at issuance and are classified as warrant liabilities in the Company’s condensed consolidated interim financial statements. See Note 8 (Fair Value Measurements) for additional information.</w:t>
      </w:r>
    </w:p>
    <w:p>
      <w:pPr>
        <w:spacing w:after="0" w:line="188"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8"/>
          <w:szCs w:val="18"/>
          <w:color w:val="auto"/>
        </w:rPr>
        <w:t>The purchase and sale of our common shares and accompanying warrants in the November 2024 RDO was made pursuant to the registration statement on Form S-3 (File No. 333-277758), which was declared effective by the Securities and Exchange Commission on May 14, 2024.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 Awards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2021, our shareholders approved the Lineage Cell Therapeutics, Inc. 2021 Equity Incentive Plan, and in September 2023, our shareholders approved an amendment to increase the number of common shares that may be issued thereunder by 19,500,000 (as amended to date, the “2021 Plan”). The 2021 Plan provides for the grant of incentive stock options, non-statutory stock options, stock appreciation rights, restricted stock awards, restricted stock units (“RSUs”), and other stock awards. Generally, all of our employees (including those of our affiliates), non-employee directors and consultants are eligible to participate in the 2021 Plan.</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number of our common shares that may be issued under the 2021 Plan will not exceed the sum of (i) 34,500,000 shares and (ii) the number of shares subject to awards granted under the Lineage Cell Therapeutics Inc. 2012 Equity Incentive Plan (the “2012 Plan”) that were outstanding when the 2021 Plan became effective and are not issued because such awards expire or otherwise terminate. As a result of the approval of the 2021 Plan by our shareholders, no additional awards will be granted under the 2012 Plan. As of March 31, 2025, there were 15,425,187 shares available for grant under the 2021 Plan.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under the 2021 Plan is as follows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Options exercised</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expired/forfeited/cancelled</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2025</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7,855</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4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7.53</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9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Options exercisable and expected to vest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80" w:type="dxa"/>
            <w:vAlign w:val="bottom"/>
            <w:tcBorders>
              <w:bottom w:val="single" w:sz="8" w:color="CFF0FC"/>
            </w:tcBorders>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at March 31, 2025</w:t>
            </w: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460" w:type="dxa"/>
            <w:vAlign w:val="bottom"/>
            <w:tcBorders>
              <w:bottom w:val="single" w:sz="8" w:color="CFF0FC"/>
            </w:tcBorders>
            <w:gridSpan w:val="2"/>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8.60</w:t>
            </w:r>
          </w:p>
        </w:tc>
        <w:tc>
          <w:tcPr>
            <w:tcW w:w="360" w:type="dxa"/>
            <w:vAlign w:val="bottom"/>
            <w:tcBorders>
              <w:bottom w:val="single" w:sz="8" w:color="CFF0FC"/>
            </w:tcBorders>
            <w:gridSpan w:val="2"/>
            <w:shd w:val="clear" w:color="auto" w:fill="CFF0FC"/>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gridSpan w:val="2"/>
            <w:shd w:val="clear" w:color="auto" w:fill="CFF0FC"/>
          </w:tcPr>
          <w:p>
            <w:pPr>
              <w:ind w:left="9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3"/>
        </w:trPr>
        <w:tc>
          <w:tcPr>
            <w:tcW w:w="5480" w:type="dxa"/>
            <w:vAlign w:val="bottom"/>
          </w:tcPr>
          <w:p>
            <w:pPr>
              <w:spacing w:after="0"/>
              <w:rPr>
                <w:sz w:val="24"/>
                <w:szCs w:val="24"/>
                <w:color w:val="auto"/>
              </w:rPr>
            </w:pPr>
          </w:p>
        </w:tc>
        <w:tc>
          <w:tcPr>
            <w:tcW w:w="130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-1233805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-1216660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-796290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-779145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12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12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of RSUs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12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RSUs forfeited</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vested</w:t>
            </w:r>
          </w:p>
        </w:tc>
        <w:tc>
          <w:tcPr>
            <w:tcW w:w="11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0"/>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summary of activity of the 2012 Plan, and the 2018 inducement option (which was issued to a Lineage executive outside of Lineage’s equity plans), is as follows (in thousands, except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7440" w:type="dxa"/>
            <w:vAlign w:val="bottom"/>
          </w:tcPr>
          <w:p>
            <w:pPr>
              <w:spacing w:after="0"/>
              <w:rPr>
                <w:sz w:val="12"/>
                <w:szCs w:val="12"/>
                <w:color w:val="auto"/>
              </w:rPr>
            </w:pPr>
          </w:p>
        </w:tc>
        <w:tc>
          <w:tcPr>
            <w:tcW w:w="1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Options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7440" w:type="dxa"/>
            <w:vAlign w:val="bottom"/>
          </w:tcPr>
          <w:p>
            <w:pPr>
              <w:spacing w:after="0"/>
              <w:rPr>
                <w:sz w:val="12"/>
                <w:szCs w:val="12"/>
                <w:color w:val="auto"/>
              </w:rPr>
            </w:pPr>
          </w:p>
        </w:tc>
        <w:tc>
          <w:tcPr>
            <w:tcW w:w="1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73"/>
        </w:trPr>
        <w:tc>
          <w:tcPr>
            <w:tcW w:w="74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expired/forfeited/cancelled</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r>
      <w:tr>
        <w:trPr>
          <w:trHeight w:val="249"/>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within the condensed consolidated statements of operations include stock-based compensation expense as follows (in thousands):</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4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74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4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20" w:type="dxa"/>
            <w:vAlign w:val="bottom"/>
            <w:gridSpan w:val="2"/>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r>
      <w:tr>
        <w:trPr>
          <w:trHeight w:val="230"/>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20" w:type="dxa"/>
            <w:vAlign w:val="bottom"/>
            <w:gridSpan w:val="2"/>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FF0FC"/>
          </w:tcPr>
          <w:p>
            <w:pPr>
              <w:spacing w:after="0"/>
              <w:rPr>
                <w:sz w:val="19"/>
                <w:szCs w:val="19"/>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total unrecognized compensation costs related to unvested stock options and unvested RSUs under all equity plans, was $9.7 million, which is expected to be recognized as expense over a weighted average period of approximately 2.9 years for stock options and 1.1 years for RSUs.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and diluted net income (loss) per share attributable to common shareholders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or loss attributable to Lineage common shareholders by the weighted average number of common shares outstanding, net of stock options and RSUs,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outstanding stock options, restricted stock awards and warrants, using the treasury-stock method, convertible preferred stock, if any, using the if-converted method, and treasury stock held by subsidiaries, if any.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each of the three months ended March 31, 2025 and 2024, respectively, Lineage reported a net loss attributable to common shareholders, and therefore, all potentially dilutive common shares were considered antidilutive for those periods.</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share equivalents were excluded from the computation of diluted net loss per common share for the periods presented because including them would have been antidilutive (in thousands):</w:t>
      </w:r>
    </w:p>
    <w:p>
      <w:pPr>
        <w:spacing w:after="0" w:line="19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33,328</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41,447</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provision for income taxes for interim periods is generally determined using an estimated annual effective tax rate as prescribed by ASC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The effective tax rate may be subject to fluctuations during the year as new information is obtained, which may affect the assumptions used to estimate the annual effective tax rate, including factors such as valuation allowances and changes in valuation allowances against deferred tax assets, the recognition or de-recognition of tax benefits related to uncertain tax positions, if any, and changes in or the interpretation of tax laws in jurisdictions where Lineage conducts business. ASC 740-270 also states that if an entity is unable to reliably estimate some or a part of its ordinary income or loss, the income tax provision or benefit applicable to the item that cannot be estimated shall be reported in the interim period in which the item is reported. For items that Lineage cannot reliably estimate on an annual basis, Lineage uses the actual year to date effective tax rate rather than an estimated annual effective tax rate to determine the tax effect of each item, including the use of all available net operating losses and other credits or deferred tax assets.</w:t>
      </w:r>
    </w:p>
    <w:p>
      <w:pPr>
        <w:spacing w:after="0" w:line="18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Under ASC 740, a valuation allowance is provided when it is more likely than not that some portion of the deferred tax assets will not be realized. Lineage established a full valuation allowance as of December 31, 2018 due to the uncertainty of realizing future tax benefits from its net operating loss carryforwards and other deferred tax assets, including foreign net operating losses generated by its subsidiaries.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tax years beginning on or after January 1, 2022, the Tax Cuts and Jobs Act of 2017 (“TCJA”) eliminates the option to currently deduct research and development expenses and requires taxpayers to capitalize and amortize them over five years for research activities performed in the United States and 15 years for research activities performed outside the United States pursuant to IRC Section 174. Although Congress is considering legislation that would repeal and defer this capitalization and amortization requirement for research activities performed in the United States, it is not certain that this provision will be repealed or otherwise modified. If the requirement is not repealed or replaced, it will continue to defer our tax deduction for research and development expense in future years.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2017 Tax Act subjects a U.S. stockholder to GILTI earned by certain foreign subsidiaries. In general, GILTI is the excess of a U.S. stockholder’s total net foreign income over a deemed return on tangible assets. The provision further allows a deduction of 50% of GILTI, however this deduction is limited to the company’s pre-GILTI U.S. income.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Lineage did not record a deferred tax benefit or provision expense for the three months ended March 31, 2025 and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Carlsbad Lease</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May 2019, Lineage entered into a lease for approximately 8,841 square feet of rentable space in an office park in Carlsbad, California. The lease was amended in December 2022 and the term was extended for a period of thirty-seven months (the “Extended Term”) commencing on March 1, 2023 (the “Extended Term Commencement Date”). Monthly base rent for the first twelve months of the Extended Term was $25,200, and is subject to 3% annual increases. Rent was abated for months two through four of the Extended Term. As security for the performance of its obligations under the lease, Lineage provided the landlord a security deposit of $17,850, which is included in prepaid expenses and other current assets on the condensed consolidated balance sheet as of March 31, 2025.</w:t>
      </w:r>
    </w:p>
    <w:p>
      <w:pPr>
        <w:spacing w:after="0" w:line="187"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to base rent, Lineage pays a pro-rata portion of increases in certain expenses, including real property taxes, utilities (to the extent not separately metered to the leased space) and the landlord’s operating expenses, over the amounts of those expenses incurred</w:t>
      </w: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landlord. These pro-rata charges are expensed as incurred and excluded from the calculation of the right-of-use assets and lease liabilities.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Carlsbad Sublease</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2022, Lineage entered into a sublease for approximately 4,500 square feet of rentable industrial space in Carlsbad, California for a term that commenced on October 1, 2022 and was originally set to expire on March 31, 2024. In February 2024, Lineage extended the term of the sublease for 24 months through March 31, 2026 on similar terms. During the extension period, the base rent is $23,000 per month for the first twelve months and will increase to $23,500 for the remaining twelve months. As security for the performance of its obligations under the sublease, Lineage provided the landlord with a security deposit of $22,500, which is included in prepaid expenses and other current assets on the condensed consolidated balance sheet as of March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CCN Leases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2025, CCN leases approximately 2,096 square meters (approximately 22,600 square feet) of combined office and laboratory space in Jerusalem, Israel under a master lease, as amended, that expires December 31, 2027. Cumulative base rent and construction allowance payments are approximately 165,000 Israeli New Shekels (‘ILS”) per month (approximately $44,000 as of March 31, 2025), excluding any future rent escalations, and includes options to extend the lease term for five years. The U.S. dollar value of the ILS denominated base rent and construction allowance payments fluctuates based upon currency exchange rates. In addition to base rent, CCN pays a pro-rata share of real property taxes and certain costs related to the operation and maintenance of the building in which the leased premises are located, including parking usage fees. These pro-rata charges are expensed as incurred and excluded from the calculation of the ROU assets and lease liabilities.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CCN has security deposits denominated in ILS with the landlord for this master lease held as restricted cash during the term of the lease. The U.S. dollar value of the ILS denominated security deposits fluctuates based upon currency exchange rates and was $456,000 as of March 31, 2025, which is included in deposits and other long-term assets on the condensed consolidated balance sheet.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Information –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4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w:t>
            </w: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140" w:type="dxa"/>
            <w:vAlign w:val="bottom"/>
            <w:vMerge w:val="restart"/>
          </w:tcPr>
          <w:p>
            <w:pPr>
              <w:spacing w:after="0"/>
              <w:rPr>
                <w:sz w:val="5"/>
                <w:szCs w:val="5"/>
                <w:color w:val="auto"/>
              </w:rPr>
            </w:pPr>
          </w:p>
        </w:tc>
        <w:tc>
          <w:tcPr>
            <w:tcW w:w="5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 except lease term and discount rate):</w:t>
      </w:r>
    </w:p>
    <w:p>
      <w:pPr>
        <w:spacing w:after="0" w:line="132"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auto"/>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Right-of-use lease liabilities, current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Right-of-use lease liabilities, noncurrent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8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5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0" w:type="dxa"/>
            <w:vAlign w:val="bottom"/>
          </w:tcPr>
          <w:p>
            <w:pPr>
              <w:spacing w:after="0"/>
              <w:rPr>
                <w:sz w:val="19"/>
                <w:szCs w:val="19"/>
                <w:color w:val="auto"/>
              </w:rPr>
            </w:pPr>
          </w:p>
        </w:tc>
        <w:tc>
          <w:tcPr>
            <w:tcW w:w="5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5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0" w:type="dxa"/>
            <w:vAlign w:val="bottom"/>
          </w:tcPr>
          <w:p>
            <w:pPr>
              <w:spacing w:after="0"/>
              <w:rPr>
                <w:sz w:val="24"/>
                <w:szCs w:val="24"/>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Right-of-use lease liabilities, current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56</w:t>
            </w:r>
          </w:p>
        </w:tc>
        <w:tc>
          <w:tcPr>
            <w:tcW w:w="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Right-of-use lease liabilities, noncurrent</w:t>
            </w: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51</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620" w:type="dxa"/>
            <w:vAlign w:val="bottom"/>
            <w:vMerge w:val="restart"/>
          </w:tcPr>
          <w:p>
            <w:pPr>
              <w:spacing w:after="0"/>
              <w:rPr>
                <w:sz w:val="5"/>
                <w:szCs w:val="5"/>
                <w:color w:val="auto"/>
              </w:rPr>
            </w:pPr>
          </w:p>
        </w:tc>
        <w:tc>
          <w:tcPr>
            <w:tcW w:w="560" w:type="dxa"/>
            <w:vAlign w:val="bottom"/>
          </w:tcPr>
          <w:p>
            <w:pPr>
              <w:spacing w:after="0"/>
              <w:rPr>
                <w:sz w:val="5"/>
                <w:szCs w:val="5"/>
                <w:color w:val="auto"/>
              </w:rPr>
            </w:pPr>
          </w:p>
        </w:tc>
        <w:tc>
          <w:tcPr>
            <w:tcW w:w="5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20" w:type="dxa"/>
            <w:vAlign w:val="bottom"/>
            <w:vMerge w:val="continue"/>
          </w:tcPr>
          <w:p>
            <w:pPr>
              <w:spacing w:after="0"/>
              <w:rPr>
                <w:sz w:val="18"/>
                <w:szCs w:val="18"/>
                <w:color w:val="auto"/>
              </w:rPr>
            </w:pPr>
          </w:p>
        </w:tc>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 years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2.5 years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 years</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 years</w:t>
            </w:r>
          </w:p>
        </w:tc>
        <w:tc>
          <w:tcPr>
            <w:tcW w:w="0" w:type="dxa"/>
            <w:vAlign w:val="bottom"/>
          </w:tcPr>
          <w:p>
            <w:pPr>
              <w:spacing w:after="0"/>
              <w:rPr>
                <w:sz w:val="1"/>
                <w:szCs w:val="1"/>
                <w:color w:val="auto"/>
              </w:rPr>
            </w:pPr>
          </w:p>
        </w:tc>
      </w:tr>
      <w:tr>
        <w:trPr>
          <w:trHeight w:val="297"/>
        </w:trPr>
        <w:tc>
          <w:tcPr>
            <w:tcW w:w="64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4"/>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right"/>
              <w:ind w:right="7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19"/>
        </w:trPr>
        <w:tc>
          <w:tcPr>
            <w:tcW w:w="6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Future minimum lease commitments are as follows as of March 31, 2025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18"/>
                <w:szCs w:val="18"/>
                <w:color w:val="auto"/>
              </w:rPr>
            </w:pPr>
          </w:p>
        </w:tc>
        <w:tc>
          <w:tcPr>
            <w:tcW w:w="5240" w:type="dxa"/>
            <w:vAlign w:val="bottom"/>
          </w:tcPr>
          <w:p>
            <w:pPr>
              <w:jc w:val="right"/>
              <w:ind w:right="46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18"/>
                <w:szCs w:val="18"/>
                <w:color w:val="auto"/>
              </w:rPr>
            </w:pPr>
          </w:p>
        </w:tc>
        <w:tc>
          <w:tcPr>
            <w:tcW w:w="5240" w:type="dxa"/>
            <w:vAlign w:val="bottom"/>
            <w:shd w:val="clear" w:color="auto" w:fill="CFF0FC"/>
          </w:tcPr>
          <w:p>
            <w:pPr>
              <w:jc w:val="right"/>
              <w:ind w:right="46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18"/>
                <w:szCs w:val="18"/>
                <w:color w:val="auto"/>
              </w:rPr>
            </w:pPr>
          </w:p>
        </w:tc>
        <w:tc>
          <w:tcPr>
            <w:tcW w:w="5240" w:type="dxa"/>
            <w:vAlign w:val="bottom"/>
          </w:tcPr>
          <w:p>
            <w:pPr>
              <w:jc w:val="right"/>
              <w:ind w:right="469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18"/>
                <w:szCs w:val="18"/>
                <w:color w:val="auto"/>
              </w:rPr>
            </w:pPr>
          </w:p>
        </w:tc>
        <w:tc>
          <w:tcPr>
            <w:tcW w:w="5240" w:type="dxa"/>
            <w:vAlign w:val="bottom"/>
            <w:shd w:val="clear" w:color="auto" w:fill="CFF0FC"/>
          </w:tcPr>
          <w:p>
            <w:pPr>
              <w:jc w:val="right"/>
              <w:ind w:right="469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right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-3590925</wp:posOffset>
            </wp:positionV>
            <wp:extent cx="1117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-3573780</wp:posOffset>
            </wp:positionV>
            <wp:extent cx="1117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-3590925</wp:posOffset>
            </wp:positionV>
            <wp:extent cx="1111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-3573780</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-2956560</wp:posOffset>
            </wp:positionV>
            <wp:extent cx="1117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-2939415</wp:posOffset>
            </wp:positionV>
            <wp:extent cx="1117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-2956560</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-2939415</wp:posOffset>
            </wp:positionV>
            <wp:extent cx="1111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lease expense was $0.3 million for each of the three months ended March 31, 2025 and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 Agreement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2021, Lineage entered into the Roche Agreement, wherein Lineage granted to Roche exclusive worldwide rights to develop and commercialize RPE cell therapies, including Lineage’s proprietary cell therapy known as OpRegen, for the treatment of ocular disorders, including GA secondary to AMD.</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Roche Agreement, Roche paid Lineage a $50.0 million upfront payment and Lineage is eligible to receive up to an additional $620.0 million in developmental, regulatory and commercialization milestone payments. Lineage also is eligible for tiered double-digit percentage royalties on net sales of OpRegen in the U.S. and other major markets. All regulatory and commercial milestone payments and royalty payments are subject to the existence of certain intellectual property rights that cover OpRegen at the time such payments would otherwise become due, and the royalty payments on net sales of OpRegen are subject to financial offsets based on the existence of competing products. Roche assumed responsibility for further clinical development and commercialization of</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OpRegen. Lineage is responsible for completing activities related to the ongoing clinical study, for which enrollment is complete, and performing certain manufacturing and process development activities.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2022, Lineage received the $50.0 million upfront payment from Roche. Subsequently, Lineage, via CCN, paid $12.1 million to the IIA, and $8.9 million to Hadasit Medical Research Services and Development Ltd. (“Hadasit”). Such payments were made in accordance with obligations under the Innovation Law (as discussed below) and under the terms of CCN’s agreements with Hadasit (as discussed below). The payment obligation to Hadasit was reduced by $1.9 million in accordance with the provisions of such agreements discussed below that reduce the sublicensing fee payable to Hadasit for costs related to Lineage’s performance obligations under the Roche Agreement. To the extent such costs are not incurred within five years after the execution of the Roche Agreement, CCN will be required to pay Hadasit 21.5% of the amount of costs not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Hadasit and IIA</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CCN for further development.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CCN with respect to the grant of an exclusive license and transfer of the technological know-how for OpRegen to Roche. Under the provisions for the redemption fee, Lineage paid the IIA approximately 24.1% of the upfront payment it received under the Roche Agreement, or $12.1 million, and is obligated to pay the IIA approximately 24.1% of any milestone and royalty payments which may be received under the Roche Agreement, up to an aggregate cap on all payments, such cap growing over time via interest accrual until paid in full. As of March 31, 2025, the aggregate cap amount was approximately $95.9 million.</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Second Amended and Restated License Agreement, dated June 15, 2017, between CCN and Hadasit, and a certain letter agreement entered into on December 17, 2021, CCN paid a sublicensing fee to Hadasit of $8.9 million or 21.5% of the $50.0 million upfront payment under the Roche Agreement (subject to certain reductions), and CCN is obligated to pay Hadasit (i) a maximum of 21.5% of all milestone payments Lineage receives under the Roche Agreement (subject to certain reductions, including for costs related to Lineage’s performance obligations under the Roche Agreement), and (ii) up to 50% of all royalty payments (subject to a maximum payment of 5% of net sales of products), Lineage receives under the Roche Agreement. The letter agreement generally terminates upon the termination of the Roche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Amendment to Clinical Trial and Option Agreement and License Agreement with Cancer Research UK</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2020, Lineage and Asterias entered into a Second Amendment to the Clinical Trial and Option Agreement (the “Second CTOA Amendment”) with CRUK and Cancer Research Technology (“CRT”). The Second CTOA Amendment amended the initial agreement and the first amendment to the Clinical Trial and Option Agreement, each of which is dated September 8, 2014, between Asterias, CRUK and CRT. Pursuant to the Second CTOA Amendment, Lineage assumed all obligations of Asterias and exercised early its option to acquire data generated in the Phase 1 clinical trial of VAC2 in non-small cell lung cancer being conducted by CRUK.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Lineage and CRT effectuated the option by simultaneously entering into a license agreement (the “CRT License Agreement”) pursuant to which Lineage paid a signature fee of £1,250,000 (approximately $1.6 million based upon exchange rates in effect when the fee was paid). For the primary licensed product for the first indication, the CRT License Agreement provides for milestone fees of up to £8,000,000 based upon initiation of a Phase 3 clinical trial and the filing for regulatory approval and up to £22,500,000 in sales-based milestones payments. Additional milestone fees and sales-based milestone payments would be payable for other products or indications, and mid-single-digit royalty payments are payable on sales of commercial products.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Either party may terminate the CRT License Agreement for the uncured material breach of the other party. CRT may terminate the CRT License Agreement in the case of Lineage’s insolvency or if Lineage ceases all development and commercialization of all products under the CRT License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Contingent Obligations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obligations under license agreements and grants received from government entities to make future payments to third parties, which become due and payable on the achievement of certain development, regulatory and commercial milestones or on the 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or royalty payment received in respect of IIA-funded programs. Royalties are payable to licensors or government entities based on a percentage of net sales of licensed products. As of March 31, 2025, we have not included these commitments on our condensed consolidated balance sheet because the achievement and timing of these events are not fixed and determinable.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 General</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While management presently believes that the ultimate outcome of these proceedings, individually and in the aggregate, will 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HBL Books and Records Request</w:t>
      </w:r>
    </w:p>
    <w:p>
      <w:pPr>
        <w:spacing w:after="0" w:line="11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On April 17, 2023, CCN received a motion for disclosure of documents pursuant to Section 198A of the Israeli Companies Law 5759-1999. The motion was filed in the district court in Tel Aviv-Yafo (the “Court”) by HBL Hadasit Bio-Holdings Ltd. (“HBL”), currently an approximately 5% shareholder of CCN. According to the motion, the requested production of documents is intended to allow HBL to examine the possibility of pursuing a derivative action related to, among other things, the validity of an intercompany Collaboration and License Agreement (the “Intercompany Agreement”) entered into between Lineage and CCN pursuant to which CCN conveyed certain rights and other assets to Lineage, and Lineage agreed to undertake certain liabilities and obligations of CCN relating to the OpRegen® program. In its motion, HBL alleges, among other things, that Lineage, in its capacity as CCN’s controlling shareholder, and members of CCN’s board of directors caused damage to CCN because the Intercompany Agreement was an interested party transaction that was not fairly priced and exploits CCN’s resources for the benefit of Lineage. The motion seeks an order to compel CCN to disclose and deliver to HBL the documents described in the motion, such additional, cumulative, or alternative relief as the court deems appropriate, and reimbursement of HBL’s expenses, including attorneys’ fees. The Court held a hearing on the motion on March 14, 2024 after which the Court proposed, and the parties agreed, to retain a third-party valuation firm to assess the fairness of the valuation that was performed in support of the Intercompany Agreement. It is impossible at this time to assess whether the outcome of this proceeding will have a material adverse effect on Lineage’s consolidated results of operations, cash flows or financial position. Therefore,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Lineage has not recorded any accrual for a contingent liability associated with this legal proceeding based on its belief that a liability, while possible, is not probable nor estimable, and any range of potential contingent liability amounts cannot be reasonably estimated at this time. Lineage records legal expenses as incurred.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Contracts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Lineage may agree to indemnify and reimburse other parties, typically Lineage’s clinical research organizations, investigators, clinical sites, and suppliers, for losses and expenses suffered or incurred by the indemnified parties arising from claims of third parties in connection with the use or testing of Lineage’s products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In addition, Lineage has entered into indemnification agreements with officers and members of its board of directors that will require Lineage, among other things, to indemnify them against certain liabilities that may arise by reason of their status or service as officers or directors. The potential future payments Lineage could be required to make under the indemnification agreements described in this paragraph will generally not be subject to any specified maximum amount. Generally, Lineage has not been subject to any material claims or demands for indemnification. Lineage maintains liability insurance policies that limit its financial exposure under the indemnification agreements described in this paragraph. Accordingly, Lineage has not recorded any liabilities for these agreements as of March 31, 2025 or December 31,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Obligations and License Fees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licensing agreements with research institutions, universities and other parties providing us with certain rights to use intellectual property in conducting research and development activities in exchange for the payment of royalties on future product sales, if any. In addition, in order to maintain these licenses and other rights, we must comply with various conditions including the payment of patent related costs and annual minimum maintenance fees.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sales, respectively, in our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chief operating decision maker (“CODM”), the Chief Executive Officer, manages the Company’s business activities as a single operating and reportable segment at the consolidated level. The information in our condensed consolidated interim financial statements is the only regularly provided financial information our CODM receives and there are no other significant expense categories regularly reviewed. Accordingly, our CODM uses consolidated net loss to measure segment profit or loss, allocate resources and assess performance. Further, the CODM reviews and utilizes revenue and functional expenses (cost of sales, research and development, and general and administrative) at the consolidated level to manage the Company’s operations. Other segment items included in consolidated net loss are interest income, loss on marketable equity securities, change in fair value of warrant liability, foreign currency transaction loss, and other income (expense), and the provision for income tax benefit, which are reflected in the condensed consolidated statements of comprehensive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 of 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should be read in conjunction with our accompanying unaudited condensed consolidated interim financial statements and notes thereto and our audited financial statements and notes thereto for the year ended December 31, 2024 included in the 2024 10-K. Past operating results are not necessarily indicative of results that may occur in future periods.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includes forward-looking statements. See “Special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2024 10-K, and in our subsequent filings with the SEC, including any discussed in Part II, Item 1A of this report under the heading “Risk Factors.”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Business Overview</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developing novel allogeneic, or "off-the-shelf," cell therapies for serious neurological and ophthalmic conditions. Our programs are based on our proprietary, cell-based technology platform and associated development, formulation, manufacturing and delivery capabilities. From this platform, we design,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generated cells with desired characteristics. Functional cells developed from such lineages that are relevant to the underlying condition are transplanted into patients in an effort to (a) </w:t>
      </w:r>
      <w:r>
        <w:rPr>
          <w:rFonts w:ascii="Times New Roman" w:cs="Times New Roman" w:eastAsia="Times New Roman" w:hAnsi="Times New Roman"/>
          <w:sz w:val="18"/>
          <w:szCs w:val="18"/>
          <w:i w:val="1"/>
          <w:iCs w:val="1"/>
          <w:color w:val="auto"/>
        </w:rPr>
        <w:t>replace</w:t>
      </w:r>
      <w:r>
        <w:rPr>
          <w:rFonts w:ascii="Times New Roman" w:cs="Times New Roman" w:eastAsia="Times New Roman" w:hAnsi="Times New Roman"/>
          <w:sz w:val="18"/>
          <w:szCs w:val="18"/>
          <w:color w:val="auto"/>
        </w:rPr>
        <w:t xml:space="preserve"> or support cells that are absent or dysfunctional due to degenerative disease, aging, or traumatic injury, and (b) </w:t>
      </w:r>
      <w:r>
        <w:rPr>
          <w:rFonts w:ascii="Times New Roman" w:cs="Times New Roman" w:eastAsia="Times New Roman" w:hAnsi="Times New Roman"/>
          <w:sz w:val="18"/>
          <w:szCs w:val="18"/>
          <w:i w:val="1"/>
          <w:iCs w:val="1"/>
          <w:color w:val="auto"/>
        </w:rPr>
        <w:t>restore</w:t>
      </w:r>
      <w:r>
        <w:rPr>
          <w:rFonts w:ascii="Times New Roman" w:cs="Times New Roman" w:eastAsia="Times New Roman" w:hAnsi="Times New Roman"/>
          <w:sz w:val="18"/>
          <w:szCs w:val="18"/>
          <w:color w:val="auto"/>
        </w:rPr>
        <w:t xml:space="preserve"> or enhance the patient's functional activity. Our business strategy is to efficiently leverage our technology platform and our development and manufacturing capabilities to advance our programs internally or in conjunction with strategic partners to further enhance their value and probability of success.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Scalable, cost-effective manufacturing can help make cell therapies affordable for a wider patient population. We believe a significant challenge facing the cell therapy field, and a necessary component of successful allogeneic cell therapy commercialization, is the ability to create, at scale and in a cost-effective manner, the desired cell product from a single cell line for the life of the product with the purity, potency, and production scale implied by an “off the shelf” product. The complex process for such a cost-effective and scaled production can be achieved by employing a current Good Manufacturing Practice, or cGMP, compliant and genetically stable cell banking system, which can provide an abundant, consistent, and permanent source of material for downstream production. A stable cGMP master cell bank created from a single, well-characterized pluripotent cell line can be the source of a cGMP working cell bank, which thereafter generates hundreds or thousands of vials of a final cell-based product comprised of millions of cells per vial. Utilizing a two-tier banking system can enable significant amplification of starting material, thereby being capable of providing a reliable, consistent, and permanent supply to the subsequent production campaigns that generate the final product, producing even millions of vials from the original initial bank.</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previously completed a cGMP production run for two of our clinical-stage product candidates from such a customized, two-tiered cGMP cell banking system. In total, we have to date produced unique cGMP banking systems for three of our product candidates. We believe we have reduced to practice and demonstrated a reproducible and scalable cGMP cell therapy production capability with the purity, potency, and production scale implied by an “off the shelf” allogeneic product. We believe this achievement with the banks we have manufactured can support a production capability exceeding the number of patients with each of the respective conditions, which has to date been considered in both cases to be a single-administration dosing schedule, without requiring the manufacture of a new starting master cell bank. We plan to leverage this expertise to produce a cost-effective, scalable, and consistent supply of allogeneic cell transplant product candidates for ourselves and others, including for indications requiring large cell doses or large patient populations.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lead cell therapy program, known as OpRegen®, is being developed for the treatment of ocular disorders, including geographic atrophy (“GA”) secondary to age-related macular degeneration (“AMD”) under a collaboration we entered into with F. Hoffmann-La Roche Ltd and Genentech, Inc., a member of the Roche Group (collectively or individually, “Roche” or “Genentech”). OpRegen (also known as RG6501) is a suspension of human allogeneic retinal pigmented epithelial (“RPE”) cells and is currently being evaluated in a Phase 2a multicenter clinical trial in patients with GA secondary to AMD which is referred to as the “GAlette Study”. OpRegen subretinal delivery has the potential to counteract RPE cell loss in areas of GA lesions by supporting retinal cell health and improving retinal structure and function. Under the terms of the Collaboration and License Agreement we entered into with Roche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December 2021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 In May 2024, we entered into an additional agreement with Genentech (“Services Agreement”) pursuant to which we agreed to provide Genentech with supplemental clinical, technical, training, manufacturing, and procurement services that support the ongoing advancement of the OpRegen program in exchange for certain payments. In September 2024, Roche and Genentech announced receipt of Regenerative Medicine Advanced Therapy (“RMAT”) designation from the U.S. Food and Drug Administration (“FDA”) for OpRegen for the treatment of GA secondary to dry AMD.</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most advanced internally owned product candidate is OPC1, an allogeneic oligodendrocyte progenitor cell therapy designed to improve recovery following a spinal cord injury (“SCI”). Improved functional activity can lead to greater mobility and enhanced quality of life for patients and significant cost-savings for caregivers and payors. OPC1 also has an extensive long-term safety profile based on two clinical trials conducted to date: a five-patient Phase 1 safety trial in acute thoracic SCI, where all active subjects have been followed for at least 13 years, and a 25-patient Phase 1/2a multicenter dose-escalation trial in subacute cervical SCI, where all active subjects were evaluated for at least 7 years. Results from these studies have been published in the Journal of Neurosurgery Spine. OPC1 clinical development has been supported in part by a $14.3 million grant from the California Institute for Regenerative Medicine (“CIRM”). We plan to apply for additional funding from CIRM to support continued clinical development of OPC1 for the treatment of SCI when CIRM begins accepting new applications, which they have indicated will be available soon. See “Grants from Government Entities – Grants from the California Institute for Regenerative Medicine,” below. In February 2025, we announced that we were initiating our DOSED (Delivery of Oligodendrocyte Progenitor Cells for Spinal Cord Injury: Evaluation of a Novel Device) clinical study to evaluate the safety and utility of a novel spinal cord delivery device designed to administer OPC1 to the spinal parenchyma in subacute and chronic SCI patients. The study will enroll both subacute (between 21 to 42 days following injury) and chronic (between 1 to 5 years following injury) SCI patients. The DOSED study will be the first study of OPC1 to include patients with a chronic injury, a condition which comprises the majority of SCI patients. We expect DOSED will enable future subsequent studies aimed to demonstrate OPC1’s ability to impact functional outcomes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UC San Diego Health, was named as the first participating site for the DOSED study. The DOSED study is expected to commence enrollment in June of 2025.</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pipeline of allogeneic, or “off-the-shelf”, neurology and ophthalmic cell therapy programs currently available to us for development includes:</w:t>
      </w:r>
    </w:p>
    <w:p>
      <w:pPr>
        <w:spacing w:after="0" w:line="115" w:lineRule="exact"/>
        <w:rPr>
          <w:sz w:val="20"/>
          <w:szCs w:val="20"/>
          <w:color w:val="auto"/>
        </w:rPr>
      </w:pPr>
    </w:p>
    <w:p>
      <w:pPr>
        <w:ind w:left="1020" w:hanging="503"/>
        <w:spacing w:after="0" w:line="28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OpRegen (RG6501)</w:t>
      </w:r>
      <w:r>
        <w:rPr>
          <w:rFonts w:ascii="Times New Roman" w:cs="Times New Roman" w:eastAsia="Times New Roman" w:hAnsi="Times New Roman"/>
          <w:sz w:val="18"/>
          <w:szCs w:val="18"/>
          <w:color w:val="auto"/>
        </w:rPr>
        <w:t>, an allogeneic RPE cell replacement therapy currently in a Phase 2a multicenter, open-label, single arm clinical trial,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GAlette Study, being conducted by Genentech, for the treatment of GA secondary to AMD.</w:t>
      </w:r>
    </w:p>
    <w:p>
      <w:pPr>
        <w:spacing w:after="0" w:line="50"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OPC1</w:t>
      </w:r>
      <w:r>
        <w:rPr>
          <w:rFonts w:ascii="Times New Roman" w:cs="Times New Roman" w:eastAsia="Times New Roman" w:hAnsi="Times New Roman"/>
          <w:sz w:val="18"/>
          <w:szCs w:val="18"/>
          <w:color w:val="auto"/>
        </w:rPr>
        <w:t>, an allogeneic oligodendrocyte progenitor cell therapy currently in a Phase 1b, multicenter, open -label safety trial, the DOSED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designed to test the safety and utility of a novel spinal cord delivery device in subacute and chronic SCI patients. OPC1 continues to be evaluated in long-term follow-up from two completed Phase 1 and Phase 1/2a multicenter clinical trials in thoracic and subacute cervical SCI patients.</w:t>
      </w:r>
    </w:p>
    <w:p>
      <w:pPr>
        <w:spacing w:after="0" w:line="80"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ReSonance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(ANP1), an allogeneic auditory neuron progenitor cell transplant currently in preclinical development for the treatment of sensorineural hearing loss.</w:t>
      </w:r>
    </w:p>
    <w:p>
      <w:pPr>
        <w:spacing w:after="0" w:line="89"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PNC1</w:t>
      </w:r>
      <w:r>
        <w:rPr>
          <w:rFonts w:ascii="Times New Roman" w:cs="Times New Roman" w:eastAsia="Times New Roman" w:hAnsi="Times New Roman"/>
          <w:sz w:val="18"/>
          <w:szCs w:val="18"/>
          <w:color w:val="auto"/>
        </w:rPr>
        <w:t>, an allogeneic photoreceptor cell transplant currently in preclinical development for the treatment of vision loss due to photoreceptor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dysfunction or damage.</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RND1, </w:t>
      </w:r>
      <w:r>
        <w:rPr>
          <w:rFonts w:ascii="Times New Roman" w:cs="Times New Roman" w:eastAsia="Times New Roman" w:hAnsi="Times New Roman"/>
          <w:sz w:val="18"/>
          <w:szCs w:val="18"/>
          <w:color w:val="auto"/>
        </w:rPr>
        <w:t>a cell transplant program for an undisclosed indication, currently being developed through a gene editing collaboration with 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Biosciences Limited.</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proprietary hypoimmune cell line, </w:t>
      </w:r>
      <w:r>
        <w:rPr>
          <w:rFonts w:ascii="Times New Roman" w:cs="Times New Roman" w:eastAsia="Times New Roman" w:hAnsi="Times New Roman"/>
          <w:sz w:val="18"/>
          <w:szCs w:val="18"/>
          <w:color w:val="auto"/>
        </w:rPr>
        <w:t>which may have utility in additional central nervous system indications.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 and Technologies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have to date focused on neurological and ophthalmic cell types, the pluripotent cells which our platform is based on are capable of becoming any of the cell types of the human body. We currently maintain a list of additional undisclosed product candidates which may be considered for development or partnership in the future, and which altogether cover a range of therapeutic areas and conditions. Generally, these product candidates are based on the same platform technology and employ a similar guided cell differentiation and transplant approach as the product candidates discussed above, but in some cases may also include genetic modifications designed to enhance efficacy and/or safety profiles. We may elect not to develop or partner any of these product candidates.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w:t>
      </w: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Israeli Regional Conflict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All of our manufacturing processes, including cell banking and product manufacturing for our cell therapy product candidates, are conducted by our subsidiary, CCN, at its facility in Jerusalem, Israel, and more than two-thirds of our workforce are CCN employees who are based in the same facility. As of the date of the filing of this report, our operations have not been materially or adversely impacted as a result of the Israeli regional conflict that began in October 2023 nor the broader regional conflict that has developed since.</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safety concerns and in response to government-imposed restrictions on movement and travel and other precautions taken at the outset of the conflict, our operations at our facilities in Israel were temporarily impacted. Further, a number of the employees in Israel are members of the military reserves and subject to immediate call-up in response to ongoing regional conflict. In addition, the general impact on employees operating in a region of conflict could adversely impact our operations. Although we have business continuity plans in place to address medium- or long-term disruptions that could result from regional instability, any long-term closure of our facilities in Israel, or if those facilities were damaged, or if hostilities otherwise disrupt the ongoing operation of our facilities, or if a meaningful number of employees are unable to work for significant portions of time, our operations would be materially and adversely impacted.</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It is currently not possible to predict the scope, duration or severity of the ongoing conflict or its effects on our operations, financial condition or operating results. The conflict continues to rapidly evolve, and could materially adversely impact our business and operations, including our ability to raise capital, as well as the overall economy in Israel and the value of the New Israeli Shekel. See the risk factor in Item 1A. Risk Factors in Part I of the 2024 10-K titled, “All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Political, and Regulatory Environment Considerations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business, financial condition, operating results, stock price, and our ability to raise additional capital may be adversely affected by evolving macroeconomic, political, and regulatory developments and conditions, such as inflation, trade disruptions and restrictive measures, including tariffs, high interest rates, slowed economic growth or recession, volatility in financial markets, liquidity concerns at financial institutions, supply chain disruptions, changes in the regulatory landscape in the U.S., including due to significant reductions in funding and staffing of federal agencies and changes in leadership, and geopolitical factors. Further, third parties with whom we have business relationships, including clinical investigative sites, financial institutions, our collaborators, may be adversely affected by the foregoing risks, which could directly impact our ability to achieve our operating goals within planned timelines and budgets.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there may be significant future effects on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significant reductions in staffing levels at the FDA and other governmental agencies. The foregoing could impact agencies’ ability to retain remaining key personnel and hire additional personnel, which may disrupt their ability to perform routine activities or function in the normal course. For example, with respect to the FDA, this may result in delays or limitations on our ability to obtain guidance from agency staff and slow review times for applications we submit with respect to clinical studies, any of which could negatively impact the cost and timelines for developing and obtaining regulatory approval of our product candidates. Moreover, the current U.S. presidential administration has taken and may take additional future actions to freeze or reduce federal funding for medical research, which could decrease the ability of facilities that rely on such funding to conduct clinical trials or increase the costs to us of conducting clinical trials at those facilities. Given the high level of uncertainty regarding federal policy, enforcement and regulatory changes, and that circumstances are rapidly evolving, we cannot reasonably predict the potential impact on our business at this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 accounting policy is deemed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See the discussion under the Critical Accounting Estimates heading in Part II, Item 7. Management’s Discussion and Analysis of Financial Condition and Result of Operations in the 2024 10-K and our audited financial statements and notes thereto for the year ended December 31, 2024 in Part II, Item 8 of the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10-K for accounting policies and related estimates we believe are the most critical to understanding our condensed consolidated interim financial statements, financial condition and results of operations and which require complex management judgment and assumptions or involve uncertainties. The estimates and judgments involved in our accounting policies as described in our audited financial statements and notes thereto for the year ended December 31, 2024, continue to be our critical accounting policies and there have been no material changes to our critical accounting policies during the three months ended March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2025 and 2024</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revenues for the three months ended March 31, 2025 and 2024 (amounts in thousands except percentages):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Royalties, license and other revenues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$0.1 million increase in total revenues was primarily due to collaboration revenues recognized under the Roche Agreement resulting from continued progress toward completion of the performance obligations, inclusive of updates in the total estimated costs to be incurred under the Roche Agreement. Under the Roche Agreement, delivery is determined to be over time and revenue is recognized utilizing an input method of costs incurred over total estimated costs to complete the performance obligation.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may fluctuate from period to period based on changes in estimated costs to support the performance obligations. The collaboration revenue was included within deferred revenue at the beginning of each reporting period. See Note 3 (Revenue) to our condensed consolidated interim financial statements included in this report for additional information.</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cost of sales, research and development expenses, and general and administrative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Cost of sales</w:t>
      </w:r>
      <w:r>
        <w:rPr>
          <w:rFonts w:ascii="Times New Roman" w:cs="Times New Roman" w:eastAsia="Times New Roman" w:hAnsi="Times New Roman"/>
          <w:sz w:val="18"/>
          <w:szCs w:val="18"/>
          <w:color w:val="auto"/>
        </w:rPr>
        <w:t>. These expenses consist of costs associated with royalty revenue which has resulted from product sales by our sublicensees.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costs with no future benefit or alternative use are expensed as incurred. Research and development expenses incurred and reimbursed by grants from third parties approximate the grant income recognized in our condensed consolidated statements of operations. Royalties and sublicensing fees are recorded as research and development expenses, unless they are associated with royalties from product sales, which we classify as cost of sales in our condensed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These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7"/>
          <w:szCs w:val="17"/>
          <w:color w:val="auto"/>
        </w:rPr>
        <w:t>The following table shows our operating expenses for the three months ended March 31, 2025 and 2024 (amounts in thousands, except percentages):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0"/>
        </w:trPr>
        <w:tc>
          <w:tcPr>
            <w:tcW w:w="5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 of our total research and development expenses allocated to our primary research and development projects for the periods presented (amounts in thousands, except percentages):</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4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780" w:type="dxa"/>
            <w:vAlign w:val="bottom"/>
            <w:tcBorders>
              <w:bottom w:val="single" w:sz="8" w:color="auto"/>
            </w:tcBorders>
          </w:tcPr>
          <w:p>
            <w:pPr>
              <w:spacing w:after="0"/>
              <w:rPr>
                <w:sz w:val="13"/>
                <w:szCs w:val="13"/>
                <w:color w:val="auto"/>
              </w:rPr>
            </w:pPr>
          </w:p>
        </w:tc>
      </w:tr>
      <w:tr>
        <w:trPr>
          <w:trHeight w:val="129"/>
        </w:trPr>
        <w:tc>
          <w:tcPr>
            <w:tcW w:w="4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Borders>
              <w:bottom w:val="single" w:sz="8" w:color="auto"/>
            </w:tcBorders>
            <w:gridSpan w:val="3"/>
          </w:tcPr>
          <w:p>
            <w:pPr>
              <w:ind w:left="760"/>
              <w:spacing w:after="0" w:line="129" w:lineRule="exact"/>
              <w:rPr>
                <w:sz w:val="20"/>
                <w:szCs w:val="20"/>
                <w:color w:val="auto"/>
              </w:rPr>
            </w:pPr>
            <w:r>
              <w:rPr>
                <w:rFonts w:ascii="Times New Roman" w:cs="Times New Roman" w:eastAsia="Times New Roman" w:hAnsi="Times New Roman"/>
                <w:sz w:val="13"/>
                <w:szCs w:val="13"/>
                <w:b w:val="1"/>
                <w:bCs w:val="1"/>
                <w:color w:val="auto"/>
                <w:w w:val="93"/>
              </w:rPr>
              <w:t>Percent of Total</w:t>
            </w:r>
          </w:p>
        </w:tc>
        <w:tc>
          <w:tcPr>
            <w:tcW w:w="780" w:type="dxa"/>
            <w:vAlign w:val="bottom"/>
            <w:tcBorders>
              <w:bottom w:val="single" w:sz="8" w:color="auto"/>
            </w:tcBorders>
          </w:tcPr>
          <w:p>
            <w:pPr>
              <w:spacing w:after="0"/>
              <w:rPr>
                <w:sz w:val="11"/>
                <w:szCs w:val="11"/>
                <w:color w:val="auto"/>
              </w:rPr>
            </w:pPr>
          </w:p>
        </w:tc>
      </w:tr>
      <w:tr>
        <w:trPr>
          <w:trHeight w:val="128"/>
        </w:trPr>
        <w:tc>
          <w:tcPr>
            <w:tcW w:w="4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03"/>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1"/>
                <w:szCs w:val="11"/>
                <w:color w:val="auto"/>
              </w:rPr>
            </w:pPr>
          </w:p>
        </w:tc>
        <w:tc>
          <w:tcPr>
            <w:tcW w:w="11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301"/>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96"/>
        </w:trPr>
        <w:tc>
          <w:tcPr>
            <w:tcW w:w="4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OpRegen</w:t>
            </w:r>
            <w:r>
              <w:rPr>
                <w:rFonts w:ascii="Times New Roman" w:cs="Times New Roman" w:eastAsia="Times New Roman" w:hAnsi="Times New Roman"/>
                <w:sz w:val="21"/>
                <w:szCs w:val="21"/>
                <w:color w:val="auto"/>
                <w:vertAlign w:val="superscript"/>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36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jc w:val="center"/>
              <w:ind w:right="301"/>
              <w:spacing w:after="0"/>
              <w:rPr>
                <w:sz w:val="20"/>
                <w:szCs w:val="20"/>
                <w:color w:val="auto"/>
              </w:rPr>
            </w:pPr>
            <w:r>
              <w:rPr>
                <w:rFonts w:ascii="Times New Roman" w:cs="Times New Roman" w:eastAsia="Times New Roman" w:hAnsi="Times New Roman"/>
                <w:sz w:val="16"/>
                <w:szCs w:val="16"/>
                <w:color w:val="auto"/>
                <w:w w:val="95"/>
              </w:rPr>
              <w:t>44%</w:t>
            </w:r>
          </w:p>
        </w:tc>
      </w:tr>
      <w:tr>
        <w:trPr>
          <w:trHeight w:val="20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OPC1</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3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center"/>
              <w:ind w:right="301"/>
              <w:spacing w:after="0"/>
              <w:rPr>
                <w:sz w:val="20"/>
                <w:szCs w:val="20"/>
                <w:color w:val="auto"/>
              </w:rPr>
            </w:pPr>
            <w:r>
              <w:rPr>
                <w:rFonts w:ascii="Times New Roman" w:cs="Times New Roman" w:eastAsia="Times New Roman" w:hAnsi="Times New Roman"/>
                <w:sz w:val="16"/>
                <w:szCs w:val="16"/>
                <w:color w:val="auto"/>
                <w:w w:val="95"/>
              </w:rPr>
              <w:t>34%</w:t>
            </w:r>
          </w:p>
        </w:tc>
      </w:tr>
      <w:tr>
        <w:trPr>
          <w:trHeight w:val="20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ANP1</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36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jc w:val="center"/>
              <w:ind w:right="301"/>
              <w:spacing w:after="0"/>
              <w:rPr>
                <w:sz w:val="20"/>
                <w:szCs w:val="20"/>
                <w:color w:val="auto"/>
              </w:rPr>
            </w:pPr>
            <w:r>
              <w:rPr>
                <w:rFonts w:ascii="Times New Roman" w:cs="Times New Roman" w:eastAsia="Times New Roman" w:hAnsi="Times New Roman"/>
                <w:sz w:val="16"/>
                <w:szCs w:val="16"/>
                <w:color w:val="auto"/>
                <w:w w:val="95"/>
              </w:rPr>
              <w:t>14%</w:t>
            </w:r>
          </w:p>
        </w:tc>
      </w:tr>
      <w:tr>
        <w:trPr>
          <w:trHeight w:val="20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PNC1</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3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center"/>
              <w:ind w:right="301"/>
              <w:spacing w:after="0"/>
              <w:rPr>
                <w:sz w:val="20"/>
                <w:szCs w:val="20"/>
                <w:color w:val="auto"/>
              </w:rPr>
            </w:pPr>
            <w:r>
              <w:rPr>
                <w:rFonts w:ascii="Times New Roman" w:cs="Times New Roman" w:eastAsia="Times New Roman" w:hAnsi="Times New Roman"/>
                <w:sz w:val="16"/>
                <w:szCs w:val="16"/>
                <w:color w:val="auto"/>
                <w:w w:val="93"/>
              </w:rPr>
              <w:t>5%</w:t>
            </w:r>
          </w:p>
        </w:tc>
      </w:tr>
      <w:tr>
        <w:trPr>
          <w:trHeight w:val="20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RND1</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jc w:val="center"/>
              <w:ind w:right="301"/>
              <w:spacing w:after="0"/>
              <w:rPr>
                <w:sz w:val="20"/>
                <w:szCs w:val="20"/>
                <w:color w:val="auto"/>
              </w:rPr>
            </w:pPr>
            <w:r>
              <w:rPr>
                <w:rFonts w:ascii="Times New Roman" w:cs="Times New Roman" w:eastAsia="Times New Roman" w:hAnsi="Times New Roman"/>
                <w:sz w:val="16"/>
                <w:szCs w:val="16"/>
                <w:color w:val="auto"/>
                <w:w w:val="93"/>
              </w:rPr>
              <w:t>0%</w:t>
            </w:r>
          </w:p>
        </w:tc>
      </w:tr>
      <w:tr>
        <w:trPr>
          <w:trHeight w:val="20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Other programs and non-program expenses</w:t>
            </w:r>
          </w:p>
        </w:tc>
        <w:tc>
          <w:tcPr>
            <w:tcW w:w="1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color w:val="auto"/>
                <w:w w:val="93"/>
              </w:rPr>
              <w:t>3%</w:t>
            </w:r>
          </w:p>
        </w:tc>
      </w:tr>
      <w:tr>
        <w:trPr>
          <w:trHeight w:val="216"/>
        </w:trPr>
        <w:tc>
          <w:tcPr>
            <w:tcW w:w="4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36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center"/>
              <w:ind w:right="301"/>
              <w:spacing w:after="0"/>
              <w:rPr>
                <w:sz w:val="20"/>
                <w:szCs w:val="20"/>
                <w:color w:val="auto"/>
              </w:rPr>
            </w:pPr>
            <w:r>
              <w:rPr>
                <w:rFonts w:ascii="Times New Roman" w:cs="Times New Roman" w:eastAsia="Times New Roman" w:hAnsi="Times New Roman"/>
                <w:sz w:val="16"/>
                <w:szCs w:val="16"/>
                <w:color w:val="auto"/>
                <w:w w:val="96"/>
              </w:rPr>
              <w:t>100%</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-25400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For the three months ended March 31, 2025, the $0.1 million quarter-over-quarter increase in total research and development expenses was mainly attributable to a $0.2 million increase for our preclinical programs, partially offset by a $0.1 million decrease for our other research and development programs.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For the three months ended March 31, 2025, the $0.1 million quarter-over-quarter decrease in general and administrative expenses was primarily attributable to less costs incurred for services provided by third parties.</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amount of other income (expenses), net, during the three months ended March 31, 2025 and 2024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Dollar Increase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42"/>
        </w:trPr>
        <w:tc>
          <w:tcPr>
            <w:tcW w:w="5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income (expenses)</w:t>
            </w: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210"/>
        </w:trPr>
        <w:tc>
          <w:tcPr>
            <w:tcW w:w="5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16"/>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marketable equity securities, net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5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transaction loss, net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r>
      <w:tr>
        <w:trPr>
          <w:trHeight w:val="216"/>
        </w:trPr>
        <w:tc>
          <w:tcPr>
            <w:tcW w:w="5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0"/>
        </w:trPr>
        <w:tc>
          <w:tcPr>
            <w:tcW w:w="52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2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2193%</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Interest income, net</w:t>
      </w:r>
      <w:r>
        <w:rPr>
          <w:rFonts w:ascii="Times New Roman" w:cs="Times New Roman" w:eastAsia="Times New Roman" w:hAnsi="Times New Roman"/>
          <w:sz w:val="18"/>
          <w:szCs w:val="18"/>
          <w:color w:val="auto"/>
        </w:rPr>
        <w:t>. For the three months ended March 31, 2025, the quarter-over-quarter increase in interest income, net, was de minimis.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u w:val="single" w:color="auto"/>
          <w:color w:val="auto"/>
        </w:rPr>
        <w:t>Loss on marketable equity securities, net</w:t>
      </w:r>
      <w:r>
        <w:rPr>
          <w:rFonts w:ascii="Times New Roman" w:cs="Times New Roman" w:eastAsia="Times New Roman" w:hAnsi="Times New Roman"/>
          <w:sz w:val="18"/>
          <w:szCs w:val="18"/>
          <w:color w:val="auto"/>
        </w:rPr>
        <w:t>. We expect our net gain or loss on marketable equitable securities to fluctuate each reporting period based on the changes in the market price of the common stock held by us which could impact our net income or loss reported in our condensed consolidated statements of operations for a particular reporting period. These shares are carried at fair market value on our condensed consolidated balance sheet. See Note 4 (Marketable Securities) to our condensed consolidated interim financial statements included in this report for additional information regarding our marketable equity securities. For the three months ended March 31, 2025 and 2024, Lineage recognized a net loss on marketable equity securities of approximately $5,000 in each quarter, primarily related to changes in the fair market value of the securities during the respective periods.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ind w:left="120" w:right="20" w:firstLine="509"/>
        <w:spacing w:after="0" w:line="255" w:lineRule="auto"/>
        <w:rPr>
          <w:sz w:val="20"/>
          <w:szCs w:val="20"/>
          <w:color w:val="auto"/>
        </w:rPr>
      </w:pPr>
      <w:r>
        <w:rPr>
          <w:rFonts w:ascii="Times New Roman" w:cs="Times New Roman" w:eastAsia="Times New Roman" w:hAnsi="Times New Roman"/>
          <w:sz w:val="18"/>
          <w:szCs w:val="18"/>
          <w:u w:val="single" w:color="auto"/>
          <w:color w:val="auto"/>
        </w:rPr>
        <w:t>Change in fair value of warrant liability</w:t>
      </w:r>
      <w:r>
        <w:rPr>
          <w:rFonts w:ascii="Times New Roman" w:cs="Times New Roman" w:eastAsia="Times New Roman" w:hAnsi="Times New Roman"/>
          <w:sz w:val="18"/>
          <w:szCs w:val="18"/>
          <w:color w:val="auto"/>
        </w:rPr>
        <w:t>. The liability-classified warrants issued in connection with the November 2024 registered direct offering (“November 2024 RDO”) are valued at each reporting period end date while the warrants are outstanding using a Black-Scholes option pricing model that maximizes the use of observable inputs and minimizes the use of unobservable inputs to the extent possible. A significant increase or decrease in these inputs could result in significantly higher or lower fair value measurements. The changes in fair value of the liability-classified warrants are recorded in the condensed consolidated statements of operations and we expect this fair value to fluctuate each reporting period. For the three months ended March 31, 2025, the Company recorded a $2.3 million change in the fair value of the warrants. There were no liability-classified warrants outstanding for the three months ended March 31, 2024.</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u w:val="single" w:color="auto"/>
          <w:color w:val="auto"/>
        </w:rPr>
        <w:t>Foreign currency transaction loss, net</w:t>
      </w:r>
      <w:r>
        <w:rPr>
          <w:rFonts w:ascii="Times New Roman" w:cs="Times New Roman" w:eastAsia="Times New Roman" w:hAnsi="Times New Roman"/>
          <w:sz w:val="18"/>
          <w:szCs w:val="18"/>
          <w:color w:val="auto"/>
        </w:rPr>
        <w:t>. Foreign currency transaction loss, net, for each of the three months ended March 31, 2025 and 2024 were approximately $0.2 million and $0.4 million respectively, and consisted of net foreign currency transaction gains and losses primarily recognized by our subsidiaries CCN and ES Cell International Pte. Ltd. (“ESI”). The functional currency of CCN and ESI is the Israeli New Shekel (“ILS”) and the Singapore Dollar (“SGD”), respectively. The majority of the net foreign currency transaction losses were generated by CCN’s intercompany notes payable and notes receivable with Lineage, which is U.S. dollar-denominated. The quarter-over-quarter net decrease in foreign currency transaction losses was the result of the combined impact of: (i) changes in intercompany balances in 2025 as compared to 2024, and (ii) volatility of the ILS and SGD as compared to the U.S. dollar during 2025 and 2024.</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income (expenses), net</w:t>
      </w:r>
      <w:r>
        <w:rPr>
          <w:rFonts w:ascii="Times New Roman" w:cs="Times New Roman" w:eastAsia="Times New Roman" w:hAnsi="Times New Roman"/>
          <w:sz w:val="18"/>
          <w:szCs w:val="18"/>
          <w:color w:val="auto"/>
        </w:rPr>
        <w:t>. For the three months ended March 31, 2025, the Company recorded $0.2 million related to the allocated transaction costs for warrants issued in connection with the second closing of the November 2024 RDO. No comparable expense was recorded in the prior year.</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color w:val="auto"/>
        </w:rPr>
        <w:t xml:space="preserve">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valuation allowance is provided when it is more likely than not that some portion of the deferred tax assets will not be realized. We established a full valuation allowance as of December 31, 2018 due to the uncertainty of realizing future tax benefits from the net operating loss carryforwards and other deferred tax assets, including foreign net operating losses generated by our subsidiaries.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our accumulated deficit was $407.6 million. For the three months ended March 31, 2025, we incurred a loss from operations of $6.5 million and had negative cash flow from operations of $4.9 million. Since inception, we have incurred significant operating losses and we expect to continue to incur significant operating losses for the foreseeable future.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2025, we had $47.9 million in cash, cash equivalents and marketable securities. During the three months ended March 31, 2025 we raised approximately $5.4 million in net proceeds from the second closing of the November 2024 RDO. We may receive up to an additional $36 million in gross proceeds upon the full cash exercise of OpRegen clinical milestone-linked warrants which each have an exercise price of $0.91 per share, that were issued in the November 2024 RDO. However, no assurances can be given that any portion of such warrants will be exercised, or if exercised, that they will be exercised on a cash basis.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primarily through proceeds from the sale of our common shares and securities exercisable for or convertible into our common shares, the sale of common stock of our former subsidiaries, research grants, revenues from collaborations, and royalties from product sales that are unrelated to our current cell therapy product candidates.</w:t>
      </w:r>
    </w:p>
    <w:p>
      <w:pPr>
        <w:spacing w:after="0" w:line="17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2025, no shares were issued or sold under our at-the-market offering program. As of March 31, 2025, $39.97 million remained available for sale under our at-the-market offering program. See Note 10 (Shareholders’ Equity) to our condensed consolidated interim financial statements included in this report for additional information regarding our at-the-market offering program.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7"/>
        </w:trPr>
        <w:tc>
          <w:tcPr>
            <w:tcW w:w="68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7"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7"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provided by (used in):</w:t>
            </w:r>
          </w:p>
        </w:tc>
        <w:tc>
          <w:tcPr>
            <w:tcW w:w="3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(4,886)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14,021</w:t>
            </w:r>
          </w:p>
        </w:tc>
        <w:tc>
          <w:tcPr>
            <w:tcW w:w="0" w:type="dxa"/>
            <w:vAlign w:val="bottom"/>
          </w:tcPr>
          <w:p>
            <w:pPr>
              <w:spacing w:after="0"/>
              <w:rPr>
                <w:sz w:val="1"/>
                <w:szCs w:val="1"/>
                <w:color w:val="auto"/>
              </w:rPr>
            </w:pPr>
          </w:p>
        </w:tc>
      </w:tr>
      <w:tr>
        <w:trPr>
          <w:trHeight w:val="198"/>
        </w:trPr>
        <w:tc>
          <w:tcPr>
            <w:tcW w:w="696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cash equivalents</w:t>
            </w:r>
          </w:p>
        </w:tc>
        <w:tc>
          <w:tcPr>
            <w:tcW w:w="32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1"/>
        </w:trPr>
        <w:tc>
          <w:tcPr>
            <w:tcW w:w="69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restricted cash</w:t>
            </w:r>
          </w:p>
        </w:tc>
        <w:tc>
          <w:tcPr>
            <w:tcW w:w="320" w:type="dxa"/>
            <w:vAlign w:val="bottom"/>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$4.9 million and consisted of a net loss of $4.1 million plus the net changes in operating assets and liabilities of approximately $0.3 million and $0.5 million in non-cash adjustments. The net changes in operating assets and liabilities was primarily due to a $1.3 million reduction in deferred revenues, partially offset by $1.1 million increase in accounts receivable and prepaid expenses and other current assets. The non-cash adjustments were primarily due to the change in the fair value of the warrant liability, partially offset by stock-based compensation and depreciation.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$5.8 million for the three months ended March 31, 2024, which primarily reflects the loss from operations of $6.7 million plus the changes in operating assets and liabilities of $0.9 million. These items were offset by the non-cash expenses of $1.2 million for stock-based compensation and $0.2 million for depreciation and amortization. The foreign currency remeasurement had no effect on cash flows.</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2025 was $1.9 million and primarily consisted of maturities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2024 was $38,000 which was for the purchase of equipment.</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2025 was $5.0 million and primarily consisted of net proceeds from the sale of our common shares with warrants in the November 2024 RDO, partially offset by principal payments against our financed insurance liability.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2024 was $14.0 million and primarily consisted of net proceeds from the sale of our common shares in the February 2024 registered direct offering and from the sale of our common shares under our at-the-market offering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Obligations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financial obligations primarily consist of obligations to our licensors under license agreements, obligations related to grants received from government entities, including the IIA, obligations under vendor contracts for research services and other purchase commitments with suppliers.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CCN has received a total of $15.4 million from the IIA to support the OpRegen program. We are obligated to pay approximately 24.1% of any future payments we may receive under the Roche Agreement to the IIA, up to an aggregate cap on all payments to IIA, such cap growing over time via interest accrual until paid in full. As of March 31, 2025, the aggregate cap amount was approximately $95.9 million. Redemption fees due to the IIA under the Innovation Law are due upon receipt of any milestone payments and royalties received under the Roche Agreement. As of March 31, 2025, we have not included any future financial obligations due to the IIA under the Innovation Law in the accompanying unaudited condensed consolidated balance sheet because the achievement and timing of the events that would require future payments to the IIA under the Innovation Law is not fixed 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determinable. See Note 13 (Commitments and Contingencies) to our condensed consolidated interim financial statements included in this report for additional information.</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obligations to licensors under license agreements and to other government entities under the terms of grants we have received require us to make future payments relating to sublicense fees, milestone payments, redemption fees, royalties and patent maintenance costs.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future achievement of certain commercial, development and regulatory milestones. Royalties are payable to licensors or government entities based on a percentage of net sales of licensed products, including those related to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 have received are uncertain and may fluctuate significantly from period to period. As of March 31, 2025, we have not included these commitments on our condensed consolidated balance sheet because the achievement and timing of these events are not fixed and determinable.</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under the terms of the leases for the facilities from which CCN and Lineage operate, a total of $2.3 million of rent payments will become due, of which $0.9 million will become due in the remainder of 2025.</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 and Potential Sources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incur losses for at least the next several years. 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our product candidates or rights to future revenue streams or otherwise agree to terms unfavorable to us. The unavailability or inadequacy 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political and economic uncertainty, geopolitical conflicts, rising inflation and interest rates, and other macroeconomic factors.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$47.9 million in cash, cash equivalents and marketable securities at March 31, 2025, will be sufficient to fund our planned operations through at least twelve months from the issuance date of our condensed consolidated interim financial statements included elsewhere in this report. We believe we will meet our longer-term expected future cash requirements and obligations with our current cash and cash equivalents, milestone and other payments we expect to receive under our collaboration agreements, and proceeds we receive from sales of our common shares under our at-the-market offering program.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It is management’s responsibility to establish and maintain adequate internal control over all financial reporting pursuant to Rule 13a-15 under the Exchange Act. Our management, including our principal executive officer and our principal financial officer, reviewed and evaluated the effectiveness of our disclosure controls and procedures as of the end of the period covered by this report. Following this review and evaluation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collectively determined that our disclosure controls and procedures were effective as of the end of the period covered by this report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our principal executive officer and our principal financial officer, as appropriate to allow timely decisions regarding required disclosure.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13 (Commitments and Contingencies) in the Notes to the Condensed Consolidated Interim Financial Statements in Part I, Item 1 of this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investment in our common shares involves a high degree of risk. You should carefully consider the risks and uncertainties described in the 2024 10-K, in addition to other information in this report, when evaluating our business and before deciding whether to purchase, hold or sell our common shares. Each of these risks and uncertainties, as well as additional risks and uncertainties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 Except as described below, there have been no material changes from the risk factors disclosed in Part I, Item 1A. Risk Factors in the 2024 10-K.</w:t>
      </w:r>
    </w:p>
    <w:p>
      <w:pPr>
        <w:spacing w:after="0" w:line="18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assurances can be given that we will be able to continue to consistently manufacture clinical quantities of our product candidates in accordance with cGMP from a master and working cell bank system, or at a cost-effective or commercially viable scale, for one or more of our product candidates.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previously completed a cGMP production run of two of our clinical-stage product candidates from a customized two-tiered cGMP cell banking system. However, at this time, no assurances can be given that we will be able to consistently continue to produce production lots in the future in compliance with cGMP or do so at a cost-effective or commercially viable scale. See also the risk factor titled, “The manufacture of our cell therapy product candidates is complex, highly regulated and subject to a multitude of risks. We have limited experience manufacturing our product candidates on a clinical scale and no experience manufacturing on a commercial scale. Any failure to manufacture our product candidates in sufficient quantities in accordance with applicable quality standards and regulatory requirements and at acceptable costs, may result in significant clinical development delays or impair our ability, or that of a strategic collaborator, to obtain approval for or commercialize our product candidates,” set forth in “Item 1A. Risk Factors” of our 2024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covered by this report, none of our directors or officers (as defined in Rule 16a-1(f)</w:t>
      </w:r>
    </w:p>
    <w:p>
      <w:pPr>
        <w:spacing w:after="0" w:line="27" w:lineRule="exact"/>
        <w:rPr>
          <w:rFonts w:ascii="Times New Roman" w:cs="Times New Roman" w:eastAsia="Times New Roman" w:hAnsi="Times New Roman"/>
          <w:sz w:val="18"/>
          <w:szCs w:val="18"/>
          <w:color w:val="auto"/>
        </w:rPr>
      </w:pPr>
    </w:p>
    <w:p>
      <w:pPr>
        <w:ind w:left="520" w:right="20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adopted or terminated any Rule 10b5-1 trading arrangement (as defined in Item 408(a)(1)(i) of Regulation S-K) or any non-Rule 10b5-1 trading arrangement (as defined in Item 408(c) of Regulation S-K).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7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0"/>
                <w:szCs w:val="10"/>
                <w:color w:val="auto"/>
              </w:rPr>
            </w:pPr>
          </w:p>
        </w:tc>
        <w:tc>
          <w:tcPr>
            <w:tcW w:w="12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0"/>
                <w:szCs w:val="10"/>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0"/>
                <w:szCs w:val="10"/>
                <w:color w:val="auto"/>
              </w:rPr>
            </w:pPr>
          </w:p>
        </w:tc>
        <w:tc>
          <w:tcPr>
            <w:tcW w:w="19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0"/>
                <w:szCs w:val="10"/>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4580" w:type="dxa"/>
            <w:vAlign w:val="bottom"/>
            <w:gridSpan w:val="6"/>
          </w:tcPr>
          <w:p>
            <w:pPr>
              <w:spacing w:after="0" w:line="17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Restated Articles of Incorporation, as amended</w:t>
              </w:r>
            </w:hyperlink>
          </w:p>
        </w:tc>
        <w:tc>
          <w:tcPr>
            <w:tcW w:w="100" w:type="dxa"/>
            <w:vAlign w:val="bottom"/>
          </w:tcPr>
          <w:p>
            <w:pPr>
              <w:spacing w:after="0"/>
              <w:rPr>
                <w:sz w:val="15"/>
                <w:szCs w:val="15"/>
                <w:color w:val="auto"/>
              </w:rPr>
            </w:pPr>
          </w:p>
        </w:tc>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15"/>
                <w:szCs w:val="15"/>
                <w:color w:val="auto"/>
              </w:rPr>
            </w:pPr>
          </w:p>
        </w:tc>
        <w:tc>
          <w:tcPr>
            <w:tcW w:w="1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November 9, 2023</w:t>
            </w:r>
          </w:p>
        </w:tc>
        <w:tc>
          <w:tcPr>
            <w:tcW w:w="100" w:type="dxa"/>
            <w:vAlign w:val="bottom"/>
          </w:tcPr>
          <w:p>
            <w:pPr>
              <w:spacing w:after="0"/>
              <w:rPr>
                <w:sz w:val="15"/>
                <w:szCs w:val="15"/>
                <w:color w:val="auto"/>
              </w:rPr>
            </w:pPr>
          </w:p>
        </w:tc>
        <w:tc>
          <w:tcPr>
            <w:tcW w:w="1080" w:type="dxa"/>
            <w:vAlign w:val="bottom"/>
          </w:tcPr>
          <w:p>
            <w:pPr>
              <w:jc w:val="right"/>
              <w:ind w:right="219"/>
              <w:spacing w:after="0" w:line="176" w:lineRule="exact"/>
              <w:rPr>
                <w:sz w:val="20"/>
                <w:szCs w:val="20"/>
                <w:color w:val="auto"/>
              </w:rPr>
            </w:pPr>
            <w:r>
              <w:rPr>
                <w:rFonts w:ascii="Times New Roman" w:cs="Times New Roman" w:eastAsia="Times New Roman" w:hAnsi="Times New Roman"/>
                <w:sz w:val="18"/>
                <w:szCs w:val="18"/>
                <w:color w:val="auto"/>
                <w:w w:val="97"/>
              </w:rPr>
              <w:t>001-12830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338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Certificate of Ownership</w:t>
              </w:r>
            </w:hyperlink>
          </w:p>
        </w:tc>
        <w:tc>
          <w:tcPr>
            <w:tcW w:w="1200" w:type="dxa"/>
            <w:vAlign w:val="bottom"/>
            <w:gridSpan w:val="2"/>
          </w:tcPr>
          <w:p>
            <w:pPr>
              <w:spacing w:after="0"/>
              <w:rPr>
                <w:sz w:val="17"/>
                <w:szCs w:val="17"/>
                <w:color w:val="auto"/>
              </w:rPr>
            </w:pPr>
          </w:p>
        </w:tc>
        <w:tc>
          <w:tcPr>
            <w:tcW w:w="13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August 12, 2019</w:t>
            </w:r>
          </w:p>
        </w:tc>
        <w:tc>
          <w:tcPr>
            <w:tcW w:w="1180" w:type="dxa"/>
            <w:vAlign w:val="bottom"/>
            <w:gridSpan w:val="2"/>
          </w:tcPr>
          <w:p>
            <w:pPr>
              <w:jc w:val="right"/>
              <w:ind w:right="219"/>
              <w:spacing w:after="0" w:line="196" w:lineRule="exact"/>
              <w:rPr>
                <w:sz w:val="20"/>
                <w:szCs w:val="20"/>
                <w:color w:val="auto"/>
              </w:rPr>
            </w:pPr>
            <w:r>
              <w:rPr>
                <w:rFonts w:ascii="Times New Roman" w:cs="Times New Roman" w:eastAsia="Times New Roman" w:hAnsi="Times New Roman"/>
                <w:sz w:val="18"/>
                <w:szCs w:val="18"/>
                <w:color w:val="auto"/>
              </w:rPr>
              <w:t>001-12830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4580" w:type="dxa"/>
            <w:vAlign w:val="bottom"/>
            <w:gridSpan w:val="6"/>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Second Amended and Restated Bylaws</w:t>
              </w:r>
            </w:hyperlink>
          </w:p>
        </w:tc>
        <w:tc>
          <w:tcPr>
            <w:tcW w:w="13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3.1(a)</w:t>
            </w:r>
          </w:p>
        </w:tc>
        <w:tc>
          <w:tcPr>
            <w:tcW w:w="100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June 13, 2024</w:t>
            </w:r>
          </w:p>
        </w:tc>
        <w:tc>
          <w:tcPr>
            <w:tcW w:w="1180" w:type="dxa"/>
            <w:vAlign w:val="bottom"/>
            <w:gridSpan w:val="2"/>
          </w:tcPr>
          <w:p>
            <w:pPr>
              <w:jc w:val="right"/>
              <w:ind w:right="219"/>
              <w:spacing w:after="0" w:line="196" w:lineRule="exact"/>
              <w:rPr>
                <w:sz w:val="20"/>
                <w:szCs w:val="20"/>
                <w:color w:val="auto"/>
              </w:rPr>
            </w:pPr>
            <w:r>
              <w:rPr>
                <w:rFonts w:ascii="Times New Roman" w:cs="Times New Roman" w:eastAsia="Times New Roman" w:hAnsi="Times New Roman"/>
                <w:sz w:val="18"/>
                <w:szCs w:val="18"/>
                <w:color w:val="auto"/>
              </w:rPr>
              <w:t>001-12830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45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Form of</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Rule 13a-14(a), as Adopted Pursuant to Section 302(a) of the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45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Form of</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Rule 13a-14(a), as Adopted Pursuant to Section 302(a) of the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4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appear in the Interactive Data as its XBRL tags are embedded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Cover page formatted as Inline XBRL and contained in Exhibit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LINEAGE CELL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21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Brian M. Culley</w:t>
            </w:r>
          </w:p>
        </w:tc>
      </w:tr>
      <w:tr>
        <w:trPr>
          <w:trHeight w:val="191"/>
        </w:trPr>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M. Culley</w:t>
            </w:r>
          </w:p>
        </w:tc>
      </w:tr>
      <w:tr>
        <w:trPr>
          <w:trHeight w:val="234"/>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21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Jill Ann Howe</w:t>
            </w:r>
          </w:p>
        </w:tc>
      </w:tr>
      <w:tr>
        <w:trPr>
          <w:trHeight w:val="191"/>
        </w:trPr>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Jill Ann Howe</w:t>
            </w:r>
          </w:p>
        </w:tc>
      </w:tr>
      <w:tr>
        <w:trPr>
          <w:trHeight w:val="234"/>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00" w:type="dxa"/>
            <w:vAlign w:val="bottom"/>
          </w:tcPr>
          <w:p>
            <w:pPr>
              <w:spacing w:after="0"/>
              <w:rPr>
                <w:sz w:val="24"/>
                <w:szCs w:val="24"/>
                <w:color w:val="auto"/>
              </w:rPr>
            </w:pPr>
          </w:p>
        </w:tc>
        <w:tc>
          <w:tcPr>
            <w:tcW w:w="77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40</w:t>
            </w:r>
          </w:p>
        </w:tc>
      </w:tr>
      <w:tr>
        <w:trPr>
          <w:trHeight w:val="763"/>
        </w:trPr>
        <w:tc>
          <w:tcPr>
            <w:tcW w:w="35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65"/>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M. Culley, certify that:</w:t>
      </w:r>
    </w:p>
    <w:p>
      <w:pPr>
        <w:spacing w:after="0" w:line="185"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Lineage Cell Therapeutics, Inc.;</w:t>
      </w:r>
    </w:p>
    <w:p>
      <w:pPr>
        <w:spacing w:after="0" w:line="19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M. Culley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Ann Howe, certify that:</w:t>
      </w:r>
    </w:p>
    <w:p>
      <w:pPr>
        <w:spacing w:after="0" w:line="185"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Lineage Cell Therapeutics, Inc.;</w:t>
      </w:r>
    </w:p>
    <w:p>
      <w:pPr>
        <w:spacing w:after="0" w:line="19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Jill Ann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Ann Howe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Lineage Cell Therapeutics, Inc. (the “Company”) for the quarter ended March 31, 2025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400" w:firstLine="8"/>
        <w:spacing w:after="0" w:line="499" w:lineRule="auto"/>
        <w:tabs>
          <w:tab w:leader="none" w:pos="3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13,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M. Culley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Jill Ann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Ann Howe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23" Type="http://schemas.openxmlformats.org/officeDocument/2006/relationships/hyperlink" Target="https://www.sec.gov/Archives/edgar/data/876343/000149315223040058/ex3-1.htm" TargetMode="External"/><Relationship Id="rId224" Type="http://schemas.openxmlformats.org/officeDocument/2006/relationships/hyperlink" Target="https://www.sec.gov/Archives/edgar/data/876343/000149315219012036/ex3-1.htm" TargetMode="External"/><Relationship Id="rId225" Type="http://schemas.openxmlformats.org/officeDocument/2006/relationships/hyperlink" Target="https://www.sec.gov/Archives/edgar/data/876343/000095017024073072/lctx-ex3_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2025-05-13T15:31:16Z</dcterms:created>
  <dcterms:modified xsi:type="dcterms:W3CDTF">2025-05-13T15:31:16Z</dcterms:modified>
</cp:coreProperties>
</file>