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Jayasuriya Anula</w:t>
              </w:r>
            </w:hyperlink>
          </w:p>
        </w:tc>
        <w:tc>
          <w:tcPr>
            <w:tcW w:w="10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Lineage Cell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LCTX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60" w:type="dxa"/>
            <w:vAlign w:val="bottom"/>
            <w:tcBorders>
              <w:bottom w:val="single" w:sz="8" w:color="0000EE"/>
            </w:tcBorders>
          </w:tcPr>
          <w:p>
            <w:pPr>
              <w:spacing w:after="0"/>
              <w:rPr>
                <w:sz w:val="6"/>
                <w:szCs w:val="6"/>
                <w:color w:val="auto"/>
              </w:rPr>
            </w:pPr>
          </w:p>
        </w:tc>
        <w:tc>
          <w:tcPr>
            <w:tcW w:w="12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400" w:type="dxa"/>
            <w:vAlign w:val="bottom"/>
            <w:tcBorders>
              <w:bottom w:val="single" w:sz="8" w:color="0000EE"/>
            </w:tcBorders>
            <w:gridSpan w:val="2"/>
            <w:vMerge w:val="continue"/>
          </w:tcPr>
          <w:p>
            <w:pPr>
              <w:spacing w:after="0"/>
              <w:rPr>
                <w:sz w:val="5"/>
                <w:szCs w:val="5"/>
                <w:color w:val="auto"/>
              </w:rPr>
            </w:pPr>
          </w:p>
        </w:tc>
        <w:tc>
          <w:tcPr>
            <w:tcW w:w="102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400" w:type="dxa"/>
            <w:vAlign w:val="bottom"/>
            <w:gridSpan w:val="2"/>
          </w:tcPr>
          <w:p>
            <w:pPr>
              <w:spacing w:after="0"/>
              <w:rPr>
                <w:sz w:val="6"/>
                <w:szCs w:val="6"/>
                <w:color w:val="auto"/>
              </w:rPr>
            </w:pPr>
          </w:p>
        </w:tc>
        <w:tc>
          <w:tcPr>
            <w:tcW w:w="102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7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07/01/2026</w:t>
            </w:r>
          </w:p>
        </w:tc>
        <w:tc>
          <w:tcPr>
            <w:tcW w:w="12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LINEAGE CELL THERAPEUTICS</w:t>
            </w:r>
          </w:p>
        </w:tc>
        <w:tc>
          <w:tcPr>
            <w:tcW w:w="270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2173 SALK AVENUE, SUITE 200</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5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CARLSBAD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92008</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07/01/2026</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125,000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07/01/2036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125,000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125,000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0000FF"/>
              </w:rPr>
              <w:t>Shares</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Will vest and become exercisable on the earlier of July 1, 2027 and the date of the issuer's next annual meeting of shareholders, subject in any case to the reporting person's continuous service with the issuer.</w:t>
      </w:r>
    </w:p>
    <w:p>
      <w:pPr>
        <w:spacing w:after="0" w:line="4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Alexandra Hernandez, as</w:t>
            </w:r>
          </w:p>
        </w:tc>
        <w:tc>
          <w:tcPr>
            <w:tcW w:w="34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07/02/2026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22933" TargetMode="External"/><Relationship Id="rId14" Type="http://schemas.openxmlformats.org/officeDocument/2006/relationships/hyperlink" Target="http://www.sec.gov/cgi-bin/browse-edgar?action=getcompany&amp;CIK=00008763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2026-07-02T16:11:55Z</dcterms:created>
  <dcterms:modified xsi:type="dcterms:W3CDTF">2026-07-02T16:11:55Z</dcterms:modified>
</cp:coreProperties>
</file>