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lctx-20260630.htm"/>
      <w:bookmarkStart w:id="1" w:name="kslctx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tbl>
      <w:tblPr>
        <w:tblW w:w="9827" w:type="dxa"/>
        <w:jc w:val="left"/>
        <w:tblInd w:w="0" w:type="dxa"/>
        <w:tblLayout w:type="fixed"/>
        <w:tblCellMar>
          <w:top w:w="28" w:type="dxa"/>
          <w:left w:w="28" w:type="dxa"/>
          <w:bottom w:w="28" w:type="dxa"/>
          <w:right w:w="28" w:type="dxa"/>
        </w:tblCellMar>
      </w:tblPr>
      <w:tblGrid>
        <w:gridCol w:w="331"/>
        <w:gridCol w:w="9496"/>
      </w:tblGrid>
      <w:tr>
        <w:trPr/>
        <w:tc>
          <w:tcPr>
            <w:tcW w:w="331"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quarterly period ended June 30,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OR</w:t>
      </w:r>
    </w:p>
    <w:p>
      <w:pPr>
        <w:pStyle w:val="TextBody"/>
        <w:bidi w:val="0"/>
        <w:jc w:val="center"/>
        <w:rPr/>
      </w:pPr>
      <w:r>
        <w:rPr/>
        <w:t>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transition period from _________ to ________</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Commission file number </w:t>
      </w:r>
      <w:r>
        <w:rPr>
          <w:rFonts w:ascii="Times New Roman" w:hAnsi="Times New Roman"/>
          <w:b/>
          <w:color w:val="000000"/>
          <w:sz w:val="20"/>
        </w:rPr>
        <w:t>001-12830</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Lineage Cell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4341" w:type="dxa"/>
        <w:jc w:val="left"/>
        <w:tblInd w:w="0" w:type="dxa"/>
        <w:tblLayout w:type="fixed"/>
        <w:tblCellMar>
          <w:top w:w="28" w:type="dxa"/>
          <w:left w:w="28" w:type="dxa"/>
          <w:bottom w:w="28" w:type="dxa"/>
          <w:right w:w="28" w:type="dxa"/>
        </w:tblCellMar>
      </w:tblPr>
      <w:tblGrid>
        <w:gridCol w:w="2581"/>
        <w:gridCol w:w="109"/>
        <w:gridCol w:w="1651"/>
      </w:tblGrid>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California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94-3127919</w:t>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2173 Salk Avenue, Suite 200</w:t>
      </w:r>
    </w:p>
    <w:p>
      <w:pPr>
        <w:pStyle w:val="TextBody"/>
        <w:bidi w:val="0"/>
        <w:jc w:val="center"/>
        <w:rPr>
          <w:rFonts w:ascii="Times New Roman" w:hAnsi="Times New Roman"/>
          <w:sz w:val="20"/>
        </w:rPr>
      </w:pPr>
      <w:r>
        <w:rPr>
          <w:rFonts w:ascii="Times New Roman" w:hAnsi="Times New Roman"/>
          <w:b/>
          <w:color w:val="000000"/>
          <w:sz w:val="20"/>
        </w:rPr>
        <w:t>Carlsbad, California</w:t>
      </w:r>
      <w:r>
        <w:rPr>
          <w:rFonts w:ascii="Times New Roman" w:hAnsi="Times New Roman"/>
          <w:color w:val="000000"/>
          <w:sz w:val="20"/>
        </w:rPr>
        <w:t xml:space="preserve"> </w:t>
      </w:r>
      <w:r>
        <w:rPr>
          <w:rFonts w:ascii="Times New Roman" w:hAnsi="Times New Roman"/>
          <w:b/>
          <w:color w:val="000000"/>
          <w:sz w:val="20"/>
        </w:rPr>
        <w:t>92008</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(442) 287-8990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6506" w:type="dxa"/>
        <w:jc w:val="left"/>
        <w:tblInd w:w="0" w:type="dxa"/>
        <w:tblLayout w:type="fixed"/>
        <w:tblCellMar>
          <w:top w:w="28" w:type="dxa"/>
          <w:left w:w="28" w:type="dxa"/>
          <w:bottom w:w="28" w:type="dxa"/>
          <w:right w:w="28" w:type="dxa"/>
        </w:tblCellMar>
      </w:tblPr>
      <w:tblGrid>
        <w:gridCol w:w="1576"/>
        <w:gridCol w:w="109"/>
        <w:gridCol w:w="1426"/>
        <w:gridCol w:w="109"/>
        <w:gridCol w:w="3286"/>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LCTX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NYSE American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551"/>
        <w:gridCol w:w="2581"/>
      </w:tblGrid>
      <w:tr>
        <w:trPr/>
        <w:tc>
          <w:tcPr>
            <w:tcW w:w="25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 ☐</w:t>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common shares outstanding as of August 3, 2026 was 252,907,464.</w:t>
      </w:r>
    </w:p>
    <w:p>
      <w:pPr>
        <w:pStyle w:val="TextBody"/>
        <w:pBdr>
          <w:bottom w:val="double" w:sz="6" w:space="1" w:color="000000"/>
        </w:pBdr>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p>
      <w:pPr>
        <w:pStyle w:val="TextBody"/>
        <w:bidi w:val="0"/>
        <w:jc w:val="left"/>
        <w:rPr/>
      </w:pPr>
      <w:r>
        <w:rPr/>
        <w:t> </w:t>
      </w:r>
    </w:p>
    <w:tbl>
      <w:tblPr>
        <w:tblW w:w="9348" w:type="dxa"/>
        <w:jc w:val="left"/>
        <w:tblInd w:w="0" w:type="dxa"/>
        <w:tblLayout w:type="fixed"/>
        <w:tblCellMar>
          <w:top w:w="28" w:type="dxa"/>
          <w:left w:w="28" w:type="dxa"/>
          <w:bottom w:w="28" w:type="dxa"/>
          <w:right w:w="28" w:type="dxa"/>
        </w:tblCellMar>
      </w:tblPr>
      <w:tblGrid>
        <w:gridCol w:w="826"/>
        <w:gridCol w:w="8011"/>
        <w:gridCol w:w="511"/>
      </w:tblGrid>
      <w:tr>
        <w:trPr/>
        <w:tc>
          <w:tcPr>
            <w:tcW w:w="826"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Page</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PART I.</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1_financial_statements">
              <w:r>
                <w:rPr>
                  <w:rStyle w:val="InternetLink"/>
                  <w:rFonts w:ascii="Times New Roman" w:hAnsi="Times New Roman"/>
                  <w:color w:val="0000FF"/>
                  <w:sz w:val="20"/>
                  <w:u w:val="single"/>
                </w:rPr>
                <w:t>Financial Statements (Unaudited)</w:t>
              </w:r>
            </w:hyperlink>
            <w:hyperlink w:anchor="item_1_financial_statemen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comp_loss">
              <w:r>
                <w:rPr>
                  <w:rStyle w:val="InternetLink"/>
                  <w:rFonts w:ascii="Times New Roman" w:hAnsi="Times New Roman"/>
                  <w:color w:val="0000FF"/>
                  <w:sz w:val="20"/>
                  <w:u w:val="single"/>
                </w:rPr>
                <w:t>Condensed Consolidated Statements of Comprehensive Income (Loss</w:t>
              </w:r>
            </w:hyperlink>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equity">
              <w:r>
                <w:rPr>
                  <w:rStyle w:val="InternetLink"/>
                  <w:rFonts w:ascii="Times New Roman" w:hAnsi="Times New Roman"/>
                  <w:color w:val="0000FF"/>
                  <w:sz w:val="20"/>
                  <w:u w:val="single"/>
                </w:rPr>
                <w:t>Condensed Consolidated Statements of Changes in Shareholders'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notes_to_the_consolidated_financial">
              <w:r>
                <w:rPr>
                  <w:rStyle w:val="InternetLink"/>
                  <w:rFonts w:ascii="Times New Roman" w:hAnsi="Times New Roman"/>
                  <w:color w:val="0000FF"/>
                  <w:sz w:val="20"/>
                  <w:u w:val="single"/>
                </w:rPr>
                <w:t>Notes to the Condensed Consolidated Interim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29</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40</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40</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PART II.</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1A.</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2">
              <w:r>
                <w:rPr>
                  <w:rStyle w:val="InternetLink"/>
                  <w:rFonts w:ascii="Times New Roman" w:hAnsi="Times New Roman"/>
                  <w:color w:val="0000FF"/>
                  <w:sz w:val="20"/>
                  <w:u w:val="single"/>
                </w:rPr>
                <w:t>Unregistered Sales of Equity Securities, Use of Proceeds, and Issuer Purchases of Equity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3">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5.</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6.</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42</w:t>
            </w:r>
          </w:p>
        </w:tc>
      </w:tr>
      <w:tr>
        <w:trPr/>
        <w:tc>
          <w:tcPr>
            <w:tcW w:w="8837" w:type="dxa"/>
            <w:gridSpan w:val="2"/>
            <w:tcBorders/>
            <w:shd w:fill="FFFFFF" w:val="clear"/>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pecial_note_regarding_forward_looking"/>
      <w:bookmarkEnd w:id="2"/>
      <w:r>
        <w:rPr>
          <w:rFonts w:ascii="Times New Roman" w:hAnsi="Times New Roman"/>
          <w:b/>
          <w:color w:val="000000"/>
          <w:sz w:val="20"/>
        </w:rPr>
        <w:t>SPECIAL NOTE REGARDING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2. “Management’s Discussion and Analysis of Financial Condition and Results of Operations” of this report, but are also contained elsewhere in this report. We make such forward-looking statements pursuant to the safe harbor provisions of the Private Securities Litigation Reform Act of 1995 and other federal securities laws. All statements other than statements of historical facts contained in this report are forward-looking statements.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Forward-looking statements in this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to receive developmental, regulatory, and commercialization milestone and royalty payments under our Collaboration and License Agreement with F. Hoffmann-La Roche Ltd and Genentech, Inc.;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success, cost and timing of our clinical trials and other product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potential of our product candidates, and the indications for which we intend to develop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AlloSCOPE</w:t>
      </w:r>
      <w:r>
        <w:rPr>
          <w:rFonts w:ascii="Times New Roman" w:hAnsi="Times New Roman"/>
          <w:color w:val="000000"/>
          <w:sz w:val="13"/>
        </w:rPr>
        <w:t>TM</w:t>
      </w:r>
      <w:r>
        <w:rPr>
          <w:color w:val="000000"/>
        </w:rPr>
        <w:t xml:space="preserve"> </w:t>
      </w:r>
      <w:r>
        <w:rPr>
          <w:rFonts w:ascii="Times New Roman" w:hAnsi="Times New Roman"/>
          <w:color w:val="000000"/>
          <w:sz w:val="20"/>
        </w:rPr>
        <w:t>platform and our ability to successfully manufacture our product candidates for clinical development and, if approved, for commercialization, and the timing and costs of such manufacture;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of our cell therapy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additional capital to fund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that holders of outstanding warrants to purchase our common shares will exercise such warrants on a cash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of the potential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scope and value of our intellectual property rights;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effects on our operations and workforce and on clinical trials (including those involving OpRegen</w:t>
      </w:r>
      <w:r>
        <w:rPr>
          <w:rFonts w:ascii="Times New Roman" w:hAnsi="Times New Roman"/>
          <w:color w:val="000000"/>
          <w:sz w:val="13"/>
        </w:rPr>
        <w:t>®</w:t>
      </w:r>
      <w:r>
        <w:rPr>
          <w:rFonts w:ascii="Times New Roman" w:hAnsi="Times New Roman"/>
          <w:color w:val="000000"/>
          <w:sz w:val="20"/>
        </w:rPr>
        <w:t>) of the 2026 Iran War and the ongoing Israeli regional conflict, and broader geopolitical conflicts, political and economic instability, public health emergencies and macroeconomic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reflect our views and expectations as of the date of this report about future events and our future performance and condition, and involve known and unknown risks, uncertainties and other factors that may cause our actual activities, performance, results or condition to be materially different from those expressed or implied by the forward-looking statements. You should refer to “Item 1A. Risk Factors” in Part II of this report and in Part I of our Annual Report on Form 10-K for the fiscal year ended December 31, 2025 (the “2025 10-K”) as filed with the Securities and Exchange Commission (the “SEC”) on March 5, 2026, for a discussion of important factors that may cause our actual activities, performance, results and condition to differ materially from those expressed or implied by our forward-looking statements. As a result of a variety of factors, including those discussed in Item 1A. Risk Factors in Part II of this report and in Part I of the 2025 10-K, our forward-looking statements may prove to be inaccurate, and the inaccuracy may be material. Accordingly, you should not place undue reliance on any forward-looking statement. We anticipate that subsequent events and developments may cause our current views and expectations to change. However, while we may elect to update the forward-looking statements in this report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after the date of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completely and with the understanding that our actual future performance, results and condition may be materially different from what we expect. We qualify all of our forward-looking statements by these cautionary statements.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3" w:name="market_data_and_trademarks"/>
      <w:bookmarkEnd w:id="3"/>
      <w:r>
        <w:rPr>
          <w:rFonts w:ascii="Times New Roman" w:hAnsi="Times New Roman"/>
          <w:b/>
          <w:color w:val="000000"/>
          <w:sz w:val="20"/>
        </w:rPr>
        <w:t>MARKET DATA AND TRADEMARKS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report also contains market data, industry forecasts and other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All brand names or trademarks appearing in this report are the property of their respective owners. Solely for convenience, the trademarks and trade names in this report may be referred to without the symbols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TM</w:t>
      </w:r>
      <w:r>
        <w:rPr>
          <w:rFonts w:ascii="Times New Roman" w:hAnsi="Times New Roman"/>
          <w:color w:val="000000"/>
          <w:sz w:val="20"/>
        </w:rPr>
        <w:t xml:space="preserve">, but such references should not be construed as any indication that their respective owners will not assert, to the fullest extent under applicable law, their rights thereto.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stated or the context requires otherwise, references in this report to “Lineage,” the “Company,” “our company,” “we,” “us,” and “our” refer collectively to Lineage Cell Therapeutics, Inc. and its consolidated subsidiaries.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 – FINANCIAL INFORMATION</w:t>
      </w:r>
    </w:p>
    <w:p>
      <w:pPr>
        <w:pStyle w:val="TextBody"/>
        <w:bidi w:val="0"/>
        <w:spacing w:before="240" w:after="283"/>
        <w:jc w:val="both"/>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6" w:name="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14"/>
        <w:gridCol w:w="246"/>
        <w:gridCol w:w="224"/>
        <w:gridCol w:w="899"/>
        <w:gridCol w:w="166"/>
        <w:gridCol w:w="246"/>
        <w:gridCol w:w="300"/>
        <w:gridCol w:w="1196"/>
        <w:gridCol w:w="414"/>
      </w:tblGrid>
      <w:tr>
        <w:trPr/>
        <w:tc>
          <w:tcPr>
            <w:tcW w:w="65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w:t>
            </w:r>
          </w:p>
        </w:tc>
        <w:tc>
          <w:tcPr>
            <w:tcW w:w="41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shares, no par value, 2,000 shares authorized; none issued and </w:t>
              <w:br/>
              <w:t>   outstanding as of June 30, 2026 and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shares, no par value, 450,000 shares authorized as of </w:t>
              <w:br/>
              <w:t xml:space="preserve">   June 30, 2026 and December 31, 2025; 252,907 and 243,122 shares issued </w:t>
              <w:br/>
              <w:t>   and outstanding as of June 30, 2026 and December 31, 2025,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515,467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(466,998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Lineage's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7" w:name="consolidated_statements_of_operations"/>
      <w:bookmarkEnd w:id="7"/>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impairment of intangible asset (Note 6 and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transaction gain,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LINEAGE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INCOME (LOSS) PER COMMON SHARE </w:t>
              <w:br/>
              <w:t>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WEIGHTED-AVERAGE COMMON SHARES USED TO </w:t>
              <w:br/>
              <w:t>   COMPUTE NET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8" w:name="consolidated_statements_comp_loss"/>
      <w:bookmarkEnd w:id="8"/>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979" w:type="dxa"/>
        <w:jc w:val="left"/>
        <w:tblInd w:w="0" w:type="dxa"/>
        <w:tblLayout w:type="fixed"/>
        <w:tblCellMar>
          <w:top w:w="28" w:type="dxa"/>
          <w:left w:w="28" w:type="dxa"/>
          <w:bottom w:w="28" w:type="dxa"/>
          <w:right w:w="28" w:type="dxa"/>
        </w:tblCellMar>
      </w:tblPr>
      <w:tblGrid>
        <w:gridCol w:w="5011"/>
        <w:gridCol w:w="146"/>
        <w:gridCol w:w="217"/>
        <w:gridCol w:w="587"/>
        <w:gridCol w:w="170"/>
        <w:gridCol w:w="150"/>
        <w:gridCol w:w="217"/>
        <w:gridCol w:w="757"/>
        <w:gridCol w:w="166"/>
        <w:gridCol w:w="146"/>
        <w:gridCol w:w="211"/>
        <w:gridCol w:w="631"/>
        <w:gridCol w:w="166"/>
        <w:gridCol w:w="146"/>
        <w:gridCol w:w="211"/>
        <w:gridCol w:w="736"/>
        <w:gridCol w:w="31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Comprehensive (income) loss attributable to </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COMPREHENSIVE INCOME (LOSS) ATTRIBUTABLE </w:t>
              <w:br/>
              <w:t>   TO LINEAGE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9" w:name="consolidated_statements_of_equity"/>
      <w:bookmarkEnd w:id="9"/>
      <w:r>
        <w:rPr>
          <w:rFonts w:ascii="Times New Roman" w:hAnsi="Times New Roman"/>
          <w:b/>
          <w:color w:val="000000"/>
          <w:sz w:val="20"/>
        </w:rPr>
        <w:t>CONDENSED 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59"/>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52"/>
        <w:gridCol w:w="807"/>
        <w:gridCol w:w="313"/>
      </w:tblGrid>
      <w:tr>
        <w:trPr/>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52,695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252,907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535,717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59,798</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77"/>
        <w:gridCol w:w="146"/>
        <w:gridCol w:w="146"/>
        <w:gridCol w:w="781"/>
        <w:gridCol w:w="146"/>
        <w:gridCol w:w="146"/>
        <w:gridCol w:w="211"/>
        <w:gridCol w:w="781"/>
        <w:gridCol w:w="146"/>
        <w:gridCol w:w="146"/>
        <w:gridCol w:w="211"/>
        <w:gridCol w:w="841"/>
        <w:gridCol w:w="166"/>
        <w:gridCol w:w="146"/>
        <w:gridCol w:w="300"/>
        <w:gridCol w:w="901"/>
        <w:gridCol w:w="166"/>
        <w:gridCol w:w="146"/>
        <w:gridCol w:w="304"/>
        <w:gridCol w:w="912"/>
        <w:gridCol w:w="166"/>
        <w:gridCol w:w="146"/>
        <w:gridCol w:w="236"/>
        <w:gridCol w:w="826"/>
        <w:gridCol w:w="312"/>
      </w:tblGrid>
      <w:tr>
        <w:trPr/>
        <w:tc>
          <w:tcPr>
            <w:tcW w:w="1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9893"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77,655</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47,112</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51"/>
        <w:gridCol w:w="806"/>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515,467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43,346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Derivative warrant liability reclassified to share </w:t>
              <w:br/>
              <w:t>   capital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535,717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59,798</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35"/>
        <w:gridCol w:w="822"/>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77,012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registered direct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(34,507</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47,112</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0" w:name="consolidated_statements_of_cash_flows"/>
      <w:bookmarkEnd w:id="10"/>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869" w:type="dxa"/>
        <w:jc w:val="left"/>
        <w:tblInd w:w="0" w:type="dxa"/>
        <w:tblLayout w:type="fixed"/>
        <w:tblCellMar>
          <w:top w:w="28" w:type="dxa"/>
          <w:left w:w="28" w:type="dxa"/>
          <w:bottom w:w="28" w:type="dxa"/>
          <w:right w:w="28" w:type="dxa"/>
        </w:tblCellMar>
      </w:tblPr>
      <w:tblGrid>
        <w:gridCol w:w="6286"/>
        <w:gridCol w:w="146"/>
        <w:gridCol w:w="196"/>
        <w:gridCol w:w="661"/>
        <w:gridCol w:w="166"/>
        <w:gridCol w:w="146"/>
        <w:gridCol w:w="196"/>
        <w:gridCol w:w="661"/>
        <w:gridCol w:w="4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net loss attributable to Lineage Cell Therapeutics, Inc. </w:t>
              <w:br/>
              <w:t>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costs for 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income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remeasurement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employee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shares received and retired for employee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under ATM,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Proceeds from sale of common shares with warrants under registered </w:t>
              <w:br/>
              <w:t>   direct financing,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financed insurance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NET DECREASE IN CASH, CASH EQUIVALENTS AND </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SUPPLEMENTAL SCHEDULE OF NON-CASH FINANCING AND </w:t>
              <w:br/>
              <w:t>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expenditures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Financing costs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of warrant liability recognized upon issuance in registered direct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 warrant liability reclassified to equity 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RECONCILIATION OF CASH, CASH EQUIVALENTS AND RESTRICTED CASH, </w:t>
              <w:br/>
              <w: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Restricted cash included in deposits and other long-term assets </w:t>
              <w:br/>
              <w:t>   (see Note 13 (Commitments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1" w:name="notes_to_the_consolidated_financial"/>
      <w:bookmarkEnd w:id="11"/>
      <w:r>
        <w:rPr>
          <w:rFonts w:ascii="Times New Roman" w:hAnsi="Times New Roman"/>
          <w:b/>
          <w:color w:val="000000"/>
          <w:sz w:val="20"/>
        </w:rPr>
        <w:t>NOTES TO THE CONDENSED CONSOLIDATED INTERIM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Basis of Presentation and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biotechnology company developing cell replacement therapies to treat serious medical conditions. Certain diseases and medical events can arise from the loss of critical cellular activity and lead to devastating or difficult-to-treat conditions or impairments. Our work is grounded in the emerging evidence that replacing or supporting those cells that have become dysfunctional or “lost” (destroyed or dead) can restore or replenish normal function and improve treatment and recovery paradigms. We call this approach “Replace and Restore”. We believe cellular therapies aimed at replacing dysfunctional or destroyed cells may have more durable, broader, or suitable applicability than traditional pharmaceutical products, which often seek to affect just a single molecular target or group of biological pathways. Transplantation of replacement cells represents an emerging branch of medicine, and we believe we are uniquely positioned to capitalize on its opportunities by demonstrating the value of administering mature, differentiated cells to patients.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development programs are based on our proprietary, in-house, cell-based manufacturing platform, which we call AlloSCOPE (Allogeneic, Scalable, Consistent, Off-the-shelf, Pluripotent Cell Engineering), and supported by our associated development, formulation, manufacturing, and delivery capabilities. Our business strategy aims to efficiently leverage our AlloSCOPE platform and our development and manufacturing expertise to create a pipeline of related but discrete cell-based assets, some of which we may advance internally toward commercialization and some of which we may seek to partner during early or late development, if we believe doing so will enhance their probability of success and add value to Lineage and our shareholders.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lead program, OpRegen, an allogeneic retinal pigmented epithelial (RPE) cell replacement therapy, is currently in Phase 2a development under a worldwide collaboration and license agreement with F. Hoffmann-La Roche Ltd. and Genentech, Inc., a member of the Roche Group (collectively or individually, “Roche” or “Genentech”), for the treatment of geographic atrophy (GA) secondary to dry-AMD. Our second clinical-stage program, OPC1, is an allogeneic oligodendrocyte progenitor cell therapy designed to improve recovery following a spinal cord injury. Our most advanced preclinical program, ReSonance (ANP1), is an allogeneic auditory neuron progenitor cell transplant therapy currently in preclinical development under collaboration with William Demant Invest 2 Aps (WDI) for the treatment of auditory neuropathy. Our second most advanced preclinical program, COR1, is an allogeneic cell corneal endothelial cell (CEnC) transplant therapy candidate for the treatment of corneal endothelial disease, with applicable indications expected to include Fuchs Endothelial Corneal Dystrophy (FECD) and Bullous Keratopathy.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interim financial statements were prepared in accordance with generally accepted accounting principles in the United States (“GAAP”) for interim financial information and with the instructions to Form 10-Q and Article 8 of Regulation S-X. In accordance with those rules and regulations, certain information and footnote disclosures normally included in comprehensive consolidated financial statements have been condensed or omitted. The condensed consolidated balance sheet as of December 31, 2025 was derived from the audited consolidated financial statements at that date but does not include all the information and footnotes required by GAAP. These accompanying unaudited condensed consolidated interim financial statements should be read in conjunction with the audited consolidated financial statements and notes thereto included in the 2025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interim financial statements, in the opinion of management, include all adjustments, consisting only of normal recurring adjustments, necessary for a fair presentation of our financial condition and results of operations. The condensed consolidated interim results of operations are not necessarily indicative of the results to be expected for any other interim period or for the entire year.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Segments and 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chief operating decision maker (“CODM”), our Chief Executive Officer, manages our business activities as a single operating and reportable segment at the consolidated level. The information in our condensed consolidated interim financial statements is the only financial information regularly provided to our CODM and there are no other significant expense categories regularly reviewed by our CODM. Accordingly, our CODM uses consolidated net loss to measure segment profit or loss, allocate resources and assess performance. Further, our CODM reviews and utilizes revenue and functional expenses (cost of royalties, research and development, general and administrative, and loss on impairment of intangible asset) at the consolidated level to manage our operations. Other segment items included in consolidated net loss are interest income, gain (loss) on marketable equity securities, change in fair value of warrant liability, foreign currency transaction gain, and other income (expense), and the provision for income tax benefit (if applicable), which are reflected in the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Lineage’s ownership, directly or through one or more subsidiaries, of the outstanding shares of its operating subsidiaries as of June 30, 2026:</w:t>
      </w:r>
    </w:p>
    <w:p>
      <w:pPr>
        <w:pStyle w:val="TextBody"/>
        <w:bidi w:val="0"/>
        <w:jc w:val="both"/>
        <w:rPr/>
      </w:pPr>
      <w:r>
        <w:rPr/>
        <w:t> </w:t>
      </w:r>
    </w:p>
    <w:tbl>
      <w:tblPr>
        <w:tblW w:w="9472" w:type="dxa"/>
        <w:jc w:val="left"/>
        <w:tblInd w:w="0" w:type="dxa"/>
        <w:tblLayout w:type="fixed"/>
        <w:tblCellMar>
          <w:top w:w="28" w:type="dxa"/>
          <w:left w:w="28" w:type="dxa"/>
          <w:bottom w:w="28" w:type="dxa"/>
          <w:right w:w="28" w:type="dxa"/>
        </w:tblCellMar>
      </w:tblPr>
      <w:tblGrid>
        <w:gridCol w:w="3211"/>
        <w:gridCol w:w="146"/>
        <w:gridCol w:w="3961"/>
        <w:gridCol w:w="146"/>
        <w:gridCol w:w="886"/>
        <w:gridCol w:w="146"/>
        <w:gridCol w:w="97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Subsidiary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Field of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Lineage </w:t>
              <w:br/>
              <w:t>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 ("CCN")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of Lineage’s product candidates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94%</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 ("ESI")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grade cell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Includes shares owned by Lineage and ESI.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material intercompany accounts and transactions have been eliminated in consolidation. Lineage consolidates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unaudited condensed consolidated balance sheets.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30, 2026, we had $50.8 million of cash, cash equivalents and marketable securities. Based on our current operating plan, we believe that our cash, cash equivalents and marketable securities will be sufficient to enable us to carry out our planned operations through at least twelve months from the issuance date of our accompanying condensed consolidated interim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incurred significant operating losses and have funded our operations primarily through the issuance of equity securities, the sale of common stock of our former subsidiaries, receipt of proceeds from research grants, revenues from collaborations, royalties from product sales, and sales of research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had $13.5 million of marketable securities. We may use our marketable securities for liquidity as necessary and as market conditions allow. See Note 4 (Marketable Securities) for additional information.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Additional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obligations primarily consist of obligations to licensors under license agreements, obligations related to grants received from government entities, including the Israel Innovation Authority (“IIA”), obligations under contracts with vendors who provide research services and purchase commitments with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our obligations related to grants received from government entities require us to make future payments, such as sublicense fees, milestone payments, redemption fees, royalty fees and patent maintenance fees. Sublicense fees are payable to licensors or government entities when we sublicense the applicable intellectual property to third parties; the fees are based on a percentage of the license-related revenue we receive from sublicensees. Milestone payments, including those related to the worldwide collaboration with Roche (“Roche Agreement”), are due to licensors or government entities upon achievement of commercial, development and regulatory milestones. Redemption fees due to the IIA under the Innovation Law are due upon receipt of milestone payments and royalties received under the Roche Agreement. See Note 13 (Commitments and Contingencies) for additional information. Royalties, including those related to royalties we may receive under the Roche Agreement, are payable to licensors or government entities based on a percentage of net sales of licensed products. Patent maintenance fees are payable to licensors as reimbursement for the cost of maintaining license patents. Due to the contingent nature of the payments, the amounts and timing of payments to licensors under our in-license agreements are uncertain and may fluctuate significantly from period to period. As of June 30, 2026, we had not included these commitments on our condensed consolidated balance sheet because the achievement of events that would trigger our payment obligations and the timing thereof were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sz w:val="20"/>
        </w:rPr>
      </w:pPr>
      <w:r>
        <w:rPr>
          <w:rFonts w:ascii="Times New Roman" w:hAnsi="Times New Roman"/>
          <w:i/>
          <w:color w:val="000000"/>
          <w:sz w:val="20"/>
        </w:rPr>
        <w:t>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describe our significant accounting policies in Note 2 to the consolidated financial statements in Item 8 of the 2025 10-K. There have been no changes to our significant accounting policies during the six months ended June 30, 2026.</w:t>
      </w:r>
    </w:p>
    <w:p>
      <w:pPr>
        <w:pStyle w:val="TextBody"/>
        <w:bidi w:val="0"/>
        <w:spacing w:before="360" w:after="283"/>
        <w:jc w:val="both"/>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annual periods beginning in fiscal year 2025 and its adoption did not have a material impact on our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2025, the FASB issued ASU 2025-05, Financial Instruments—Credit Losses (Topic 326): Measurement of Credit Losses for Accounts Receivable and Contract Assets. The new standard provides a practical expedient related to the estimation of expected credit losses for current accounts receivable and current contract assets that arise from transactions accounted for under ASC 606. The standard is effective for fiscal years beginning after December 15, 2025 and interim periods within those fiscal years and its adoption, which was applied prospectively, did not have a material impact on our condensed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(Subtopic 220-40): Disaggregation of Income Statement Expenses (“ASU 2024-03”). The purpose of ASU 2024-03 is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royalties, SG&amp;A, and research and development). ASU 2024-03 is effective for fiscal years beginning after December 15, 2026 and interim periods within fiscal years beginning after December 15, 2027. Early adoption is permitted. We are currently assessing the impact that this new guidance will have on our consolidated financial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is primarily generated from our collaborative research and development agreements as well as royalty and other service agreement revenues.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Revenues under our agreements with Roche and WDI are within the scope of ASU 2014-09 – Revenue from Contracts with Customers (Topic 606) and are recognized over time as collaboration revenue using the input method as it represents the most appropriate measure of progress towards satisfaction of the identified performance obligation. Under the input method, the ratio of the costs incurred over total estimated costs to be incurred is used to measure progress toward completion of the performance obligation and to calculate the corresponding revenue to recognize each period. During each reporting period, we update our total estimated collaboration costs, and any resulting adjustments are recorded on a cumulative basis, which would affect revenue and deferred revenue (the latter, if applicable) in the period of adjustment.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disaggregated revenues were as follows for the periods presented (in thousands): </w:t>
      </w:r>
    </w:p>
    <w:p>
      <w:pPr>
        <w:pStyle w:val="TextBody"/>
        <w:bidi w:val="0"/>
        <w:jc w:val="left"/>
        <w:rPr/>
      </w:pPr>
      <w:r>
        <w:rPr/>
        <w:t> </w:t>
      </w:r>
    </w:p>
    <w:tbl>
      <w:tblPr>
        <w:tblW w:w="9419" w:type="dxa"/>
        <w:jc w:val="left"/>
        <w:tblInd w:w="0" w:type="dxa"/>
        <w:tblLayout w:type="fixed"/>
        <w:tblCellMar>
          <w:top w:w="28" w:type="dxa"/>
          <w:left w:w="28" w:type="dxa"/>
          <w:bottom w:w="28" w:type="dxa"/>
          <w:right w:w="28" w:type="dxa"/>
        </w:tblCellMar>
      </w:tblPr>
      <w:tblGrid>
        <w:gridCol w:w="4976"/>
        <w:gridCol w:w="146"/>
        <w:gridCol w:w="211"/>
        <w:gridCol w:w="572"/>
        <w:gridCol w:w="146"/>
        <w:gridCol w:w="146"/>
        <w:gridCol w:w="211"/>
        <w:gridCol w:w="572"/>
        <w:gridCol w:w="146"/>
        <w:gridCol w:w="146"/>
        <w:gridCol w:w="211"/>
        <w:gridCol w:w="571"/>
        <w:gridCol w:w="146"/>
        <w:gridCol w:w="146"/>
        <w:gridCol w:w="211"/>
        <w:gridCol w:w="571"/>
        <w:gridCol w:w="291"/>
      </w:tblGrid>
      <w:tr>
        <w:trPr/>
        <w:tc>
          <w:tcPr>
            <w:tcW w:w="4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under collaborative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Upfront license fees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Event-based milestones and other collaborative revenue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under collaborative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license and other revenues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sz w:val="22"/>
        </w:rPr>
      </w:pPr>
      <w:r>
        <w:rPr>
          <w:rFonts w:ascii="Times New Roman" w:hAnsi="Times New Roman"/>
          <w:color w:val="000000"/>
          <w:sz w:val="20"/>
        </w:rPr>
        <w:t>All of the upfront license fee revenue recognized each period was included within deferred revenue as contract liabilities at the beginning of each period.</w:t>
      </w:r>
      <w:r>
        <w:rPr>
          <w:rFonts w:ascii="Times New Roman" w:hAnsi="Times New Roman"/>
          <w:color w:val="000000"/>
          <w:sz w:val="22"/>
        </w:rPr>
        <w:t xml:space="preserve"> </w:t>
      </w:r>
      <w:r>
        <w:rPr>
          <w:rFonts w:ascii="Times New Roman" w:hAnsi="Times New Roman"/>
          <w:color w:val="000000"/>
          <w:sz w:val="20"/>
        </w:rPr>
        <w:t>Effective June 30, 2025, Lineage notified ITI of the termination of the ITI Agreement in accordance with its terms, which resulted in approximately $0.7</w:t>
      </w:r>
      <w:r>
        <w:rPr>
          <w:rFonts w:ascii="Times New Roman" w:hAnsi="Times New Roman"/>
          <w:color w:val="000000"/>
          <w:sz w:val="22"/>
        </w:rPr>
        <w:t xml:space="preserve"> </w:t>
      </w:r>
      <w:r>
        <w:rPr>
          <w:rFonts w:ascii="Times New Roman" w:hAnsi="Times New Roman"/>
          <w:color w:val="000000"/>
          <w:sz w:val="20"/>
        </w:rPr>
        <w:t>million in revenues recognized out of the remaining deferred revenues from this customer. See Note 13 (Commitments and contingencies) for additional information.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sz w:val="22"/>
        </w:rPr>
      </w:pPr>
      <w:r>
        <w:rPr>
          <w:rFonts w:ascii="Times New Roman" w:hAnsi="Times New Roman"/>
          <w:color w:val="000000"/>
          <w:sz w:val="20"/>
        </w:rPr>
        <w:t>$192,000</w:t>
      </w:r>
      <w:r>
        <w:rPr>
          <w:rFonts w:ascii="Times New Roman" w:hAnsi="Times New Roman"/>
          <w:color w:val="000000"/>
          <w:sz w:val="22"/>
        </w:rPr>
        <w:t xml:space="preserve"> </w:t>
      </w:r>
      <w:r>
        <w:rPr>
          <w:rFonts w:ascii="Times New Roman" w:hAnsi="Times New Roman"/>
          <w:color w:val="000000"/>
          <w:sz w:val="20"/>
        </w:rPr>
        <w:t>of the event-based milestones and other collaborative revenue recognized in the six months ended June 30, 2026</w:t>
      </w:r>
      <w:r>
        <w:rPr>
          <w:rFonts w:ascii="Times New Roman" w:hAnsi="Times New Roman"/>
          <w:color w:val="000000"/>
          <w:sz w:val="22"/>
        </w:rPr>
        <w:t xml:space="preserve"> </w:t>
      </w:r>
      <w:r>
        <w:rPr>
          <w:rFonts w:ascii="Times New Roman" w:hAnsi="Times New Roman"/>
          <w:color w:val="000000"/>
          <w:sz w:val="20"/>
        </w:rPr>
        <w:t xml:space="preserve">was included within deferred revenues as contract liabilities as of the beginning of the period.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both"/>
        <w:rPr>
          <w:rFonts w:ascii="Times New Roman" w:hAnsi="Times New Roman"/>
          <w:sz w:val="22"/>
        </w:rPr>
      </w:pPr>
      <w:r>
        <w:rPr>
          <w:rFonts w:ascii="Times New Roman" w:hAnsi="Times New Roman"/>
          <w:color w:val="000000"/>
          <w:sz w:val="20"/>
        </w:rPr>
        <w:t>Of the royalties, license and other revenues recognized each period, $42,000</w:t>
      </w:r>
      <w:r>
        <w:rPr>
          <w:rFonts w:ascii="Times New Roman" w:hAnsi="Times New Roman"/>
          <w:color w:val="000000"/>
          <w:sz w:val="22"/>
        </w:rPr>
        <w:t xml:space="preserve"> </w:t>
      </w:r>
      <w:r>
        <w:rPr>
          <w:rFonts w:ascii="Times New Roman" w:hAnsi="Times New Roman"/>
          <w:color w:val="000000"/>
          <w:sz w:val="20"/>
        </w:rPr>
        <w:t>and $12,000</w:t>
      </w:r>
      <w:r>
        <w:rPr>
          <w:rFonts w:ascii="Times New Roman" w:hAnsi="Times New Roman"/>
          <w:color w:val="000000"/>
          <w:sz w:val="22"/>
        </w:rPr>
        <w:t xml:space="preserve"> </w:t>
      </w:r>
      <w:r>
        <w:rPr>
          <w:rFonts w:ascii="Times New Roman" w:hAnsi="Times New Roman"/>
          <w:color w:val="000000"/>
          <w:sz w:val="20"/>
        </w:rPr>
        <w:t>were included within deferred revenues as contract liabilities as of January 1, 2026 and 2025, respectively.</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contracts with customers, including collaboration partners which are within the scope of Topic 606, the aggregate amount of the transaction price allocated to remaining performance obligations as of June 30, 2026 was $19.6 million, of which $14.0 million is reported as deferred revenues. The $19.6 million is estimated to be substantially recognized as revenue by December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and deferred revenues (contract liabilities) from contracts with customers, including collaboration partners, consisted of the following (in thousands):</w:t>
      </w:r>
    </w:p>
    <w:p>
      <w:pPr>
        <w:pStyle w:val="TextBody"/>
        <w:bidi w:val="0"/>
        <w:jc w:val="both"/>
        <w:rPr/>
      </w:pPr>
      <w:r>
        <w:rPr/>
        <w:t> </w:t>
      </w:r>
    </w:p>
    <w:tbl>
      <w:tblPr>
        <w:tblW w:w="6700" w:type="dxa"/>
        <w:jc w:val="left"/>
        <w:tblInd w:w="0" w:type="dxa"/>
        <w:tblLayout w:type="fixed"/>
        <w:tblCellMar>
          <w:top w:w="28" w:type="dxa"/>
          <w:left w:w="28" w:type="dxa"/>
          <w:bottom w:w="28" w:type="dxa"/>
          <w:right w:w="28" w:type="dxa"/>
        </w:tblCellMar>
      </w:tblPr>
      <w:tblGrid>
        <w:gridCol w:w="3661"/>
        <w:gridCol w:w="146"/>
        <w:gridCol w:w="239"/>
        <w:gridCol w:w="766"/>
        <w:gridCol w:w="146"/>
        <w:gridCol w:w="146"/>
        <w:gridCol w:w="310"/>
        <w:gridCol w:w="995"/>
        <w:gridCol w:w="2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Contract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 -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 -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pPr>
      <w:r>
        <w:rPr>
          <w:rFonts w:ascii="Times New Roman" w:hAnsi="Times New Roman"/>
          <w:color w:val="000000"/>
          <w:sz w:val="20"/>
        </w:rPr>
        <w:t>Contract assets consist of revenue recognized and performance obligations satisfied or partially satisfied in advance of customer billing and are included within prepaid expenses and other current assets on the condensed consolidated balance sheet.</w:t>
      </w:r>
      <w:r>
        <w:rPr>
          <w:color w:val="000000"/>
        </w:rPr>
        <w:t xml:space="preserve"> </w:t>
      </w:r>
    </w:p>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fair value of marketable securities held by the Company and their location in the Company’s condensed consolidated balance sheet (in thousands):</w:t>
      </w:r>
    </w:p>
    <w:p>
      <w:pPr>
        <w:pStyle w:val="TextBody"/>
        <w:bidi w:val="0"/>
        <w:spacing w:before="120" w:after="283"/>
        <w:jc w:val="left"/>
        <w:rPr/>
      </w:pPr>
      <w:r>
        <w:rPr/>
        <w:t> </w:t>
      </w:r>
    </w:p>
    <w:tbl>
      <w:tblPr>
        <w:tblW w:w="7210" w:type="dxa"/>
        <w:jc w:val="left"/>
        <w:tblInd w:w="0" w:type="dxa"/>
        <w:tblLayout w:type="fixed"/>
        <w:tblCellMar>
          <w:top w:w="28" w:type="dxa"/>
          <w:left w:w="28" w:type="dxa"/>
          <w:bottom w:w="28" w:type="dxa"/>
          <w:right w:w="28" w:type="dxa"/>
        </w:tblCellMar>
      </w:tblPr>
      <w:tblGrid>
        <w:gridCol w:w="3756"/>
        <w:gridCol w:w="146"/>
        <w:gridCol w:w="267"/>
        <w:gridCol w:w="858"/>
        <w:gridCol w:w="146"/>
        <w:gridCol w:w="146"/>
        <w:gridCol w:w="357"/>
        <w:gridCol w:w="1143"/>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Marketable Debt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tables summarize the available-for-sale debt securities classified within cash and cash equivalents and within marketable securities in the Company’s condensed consolidated balance sheet (in thousands): </w:t>
      </w:r>
    </w:p>
    <w:p>
      <w:pPr>
        <w:pStyle w:val="TextBody"/>
        <w:bidi w:val="0"/>
        <w:jc w:val="both"/>
        <w:rPr/>
      </w:pPr>
      <w:r>
        <w:rPr/>
        <w:t> </w:t>
      </w:r>
    </w:p>
    <w:tbl>
      <w:tblPr>
        <w:tblW w:w="830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510"/>
        <w:gridCol w:w="840"/>
        <w:gridCol w:w="146"/>
        <w:gridCol w:w="146"/>
        <w:gridCol w:w="603"/>
        <w:gridCol w:w="777"/>
        <w:gridCol w:w="16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8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675"/>
        <w:gridCol w:w="675"/>
        <w:gridCol w:w="146"/>
        <w:gridCol w:w="146"/>
        <w:gridCol w:w="522"/>
        <w:gridCol w:w="858"/>
        <w:gridCol w:w="14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not recognized an allowance for credit losses on any securities in an unrealized loss position as of June 30, 2026 or December 31, 2025. The Company believes that any individual unrealized losses represent temporary declines resulting from changes in interest rates, and do not reflect a deterioration of the credit quality of the issuer. The Company does not intend to sell these securities before their maturity, and does not anticipate that these securities will be required to be sold before recovery. The cost basis of the available-for-sale debt securities upon sale or maturity is determined using the specific identification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June 30, 2026, the amortized cost and estimated fair value of the Company’s available-for-sale debt securities by contractual maturity are shown below (in thousands):</w:t>
      </w:r>
    </w:p>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3631"/>
        <w:gridCol w:w="146"/>
        <w:gridCol w:w="296"/>
        <w:gridCol w:w="949"/>
        <w:gridCol w:w="146"/>
        <w:gridCol w:w="146"/>
        <w:gridCol w:w="392"/>
        <w:gridCol w:w="1258"/>
        <w:gridCol w:w="2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debt securities maturing: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Marketable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equity securities with readily determinable fair values are reported at fair value with unrealized gains and losses related to mark-to-market adjustments included in income. Lineage’s marketable equity securities are classified as trading securities and for the periods reported have consisted of shares of common stock of Hadasit Bio-Holdings Ltd. (“HBL”). The value of marketable equity securities is based on the closing price of HBL common stock on the last trading day of the applicable quarter.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represents the realized and unrealized gain (loss) on marketable equity securities for the periods presented (in thousands):</w:t>
      </w:r>
    </w:p>
    <w:p>
      <w:pPr>
        <w:pStyle w:val="TextBody"/>
        <w:bidi w:val="0"/>
        <w:jc w:val="both"/>
        <w:rPr/>
      </w:pPr>
      <w:r>
        <w:rPr/>
        <w:t> </w:t>
      </w:r>
    </w:p>
    <w:tbl>
      <w:tblPr>
        <w:tblW w:w="10056" w:type="dxa"/>
        <w:jc w:val="left"/>
        <w:tblInd w:w="0" w:type="dxa"/>
        <w:tblLayout w:type="fixed"/>
        <w:tblCellMar>
          <w:top w:w="28" w:type="dxa"/>
          <w:left w:w="28" w:type="dxa"/>
          <w:bottom w:w="28" w:type="dxa"/>
          <w:right w:w="28" w:type="dxa"/>
        </w:tblCellMar>
      </w:tblPr>
      <w:tblGrid>
        <w:gridCol w:w="5821"/>
        <w:gridCol w:w="146"/>
        <w:gridCol w:w="279"/>
        <w:gridCol w:w="457"/>
        <w:gridCol w:w="193"/>
        <w:gridCol w:w="193"/>
        <w:gridCol w:w="279"/>
        <w:gridCol w:w="457"/>
        <w:gridCol w:w="166"/>
        <w:gridCol w:w="146"/>
        <w:gridCol w:w="256"/>
        <w:gridCol w:w="421"/>
        <w:gridCol w:w="177"/>
        <w:gridCol w:w="177"/>
        <w:gridCol w:w="256"/>
        <w:gridCol w:w="421"/>
        <w:gridCol w:w="21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Loss recognized in earnings on marketable equity securities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gain (loss) recognized on marketable equity </w:t>
              <w:br/>
              <w:t>   securities held at end of period,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and December 31, 2025, property and equipment, net was comprised of the following (in thousands):</w:t>
      </w:r>
    </w:p>
    <w:p>
      <w:pPr>
        <w:pStyle w:val="TextBody"/>
        <w:bidi w:val="0"/>
        <w:jc w:val="left"/>
        <w:rPr/>
      </w:pPr>
      <w:r>
        <w:rPr/>
        <w:t> </w:t>
      </w:r>
    </w:p>
    <w:tbl>
      <w:tblPr>
        <w:tblW w:w="7085" w:type="dxa"/>
        <w:jc w:val="left"/>
        <w:tblInd w:w="0" w:type="dxa"/>
        <w:tblLayout w:type="fixed"/>
        <w:tblCellMar>
          <w:top w:w="28" w:type="dxa"/>
          <w:left w:w="28" w:type="dxa"/>
          <w:bottom w:w="28" w:type="dxa"/>
          <w:right w:w="28" w:type="dxa"/>
        </w:tblCellMar>
      </w:tblPr>
      <w:tblGrid>
        <w:gridCol w:w="3691"/>
        <w:gridCol w:w="146"/>
        <w:gridCol w:w="282"/>
        <w:gridCol w:w="843"/>
        <w:gridCol w:w="166"/>
        <w:gridCol w:w="146"/>
        <w:gridCol w:w="376"/>
        <w:gridCol w:w="1124"/>
        <w:gridCol w:w="3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$187,000 and $171,000 for the three months ended June 30, 2026 and 2025, respectively, and $375,000 and $335,000 for the six months ended June 30, 2026 and 2025, respectively. These amounts include amortization expense for right-of-use finance lease assets of $8,000 and $14,000 for the three months ended June 30, 2026 and 2025, respectively, and $21,000 and $28,000 for the six months ended June 30, 2026 and 2025,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Goodwill and Intangible Assets,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and December 31, 2025, goodwill and intangible assets, net consisted of the following (in thousands):</w:t>
      </w:r>
    </w:p>
    <w:p>
      <w:pPr>
        <w:pStyle w:val="TextBody"/>
        <w:bidi w:val="0"/>
        <w:jc w:val="both"/>
        <w:rPr/>
      </w:pPr>
      <w:r>
        <w:rPr/>
        <w:t> </w:t>
      </w:r>
    </w:p>
    <w:tbl>
      <w:tblPr>
        <w:tblW w:w="7810" w:type="dxa"/>
        <w:jc w:val="left"/>
        <w:tblInd w:w="0" w:type="dxa"/>
        <w:tblLayout w:type="fixed"/>
        <w:tblCellMar>
          <w:top w:w="28" w:type="dxa"/>
          <w:left w:w="28" w:type="dxa"/>
          <w:bottom w:w="28" w:type="dxa"/>
          <w:right w:w="28" w:type="dxa"/>
        </w:tblCellMar>
      </w:tblPr>
      <w:tblGrid>
        <w:gridCol w:w="4436"/>
        <w:gridCol w:w="146"/>
        <w:gridCol w:w="250"/>
        <w:gridCol w:w="875"/>
        <w:gridCol w:w="166"/>
        <w:gridCol w:w="146"/>
        <w:gridCol w:w="334"/>
        <w:gridCol w:w="1166"/>
        <w:gridCol w:w="291"/>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IPR&amp;D – OPC1 (from the Asterias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royalty contracts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Accumulated amortization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the net tangible and identifiable intangible assets acquired and liabilities assumed in connection with our acquisition of Asterias Biotherapeutics, Inc. (“Asterias”) in March 2019 (the “Asterias Merger”). The Company conducted a qualitative goodwill assessment for the second quarter of 2025 and took into consideration the impairment of the VAC indefinite-lived intangible asset. After assessing the totality of relevant events and circumstances, there was no impairment to the goodwill carrying value as of June 30, 2025, and through June 30, 2026, the Company has not recognized any goodwill impairment.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sz w:val="20"/>
        </w:rPr>
      </w:pPr>
      <w:r>
        <w:rPr>
          <w:rFonts w:ascii="Times New Roman" w:hAnsi="Times New Roman"/>
          <w:color w:val="000000"/>
          <w:sz w:val="20"/>
        </w:rPr>
        <w:t xml:space="preserve">Asterias had royalty cash flows under patent families it acquired from Geron Corporation. Such patent families are expected to continue to generate revenue, are not used in the other acquired IPR&amp;D intangible assets, and are considered to be separate intangible assets under ASC Topic 805,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acquired patents and acquired royalty contracts were fully amortized as of March 31, 2024.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Accounts Payable and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and December 31, 2025, accounts payable and accrued liabilities consist of the following (in thousands):</w:t>
      </w:r>
    </w:p>
    <w:p>
      <w:pPr>
        <w:pStyle w:val="TextBody"/>
        <w:bidi w:val="0"/>
        <w:jc w:val="both"/>
        <w:rPr/>
      </w:pPr>
      <w:r>
        <w:rPr/>
        <w:t> </w:t>
      </w:r>
    </w:p>
    <w:tbl>
      <w:tblPr>
        <w:tblW w:w="5335" w:type="dxa"/>
        <w:jc w:val="left"/>
        <w:tblInd w:w="0" w:type="dxa"/>
        <w:tblLayout w:type="fixed"/>
        <w:tblCellMar>
          <w:top w:w="28" w:type="dxa"/>
          <w:left w:w="28" w:type="dxa"/>
          <w:bottom w:w="28" w:type="dxa"/>
          <w:right w:w="28" w:type="dxa"/>
        </w:tblCellMar>
      </w:tblPr>
      <w:tblGrid>
        <w:gridCol w:w="1981"/>
        <w:gridCol w:w="146"/>
        <w:gridCol w:w="303"/>
        <w:gridCol w:w="822"/>
        <w:gridCol w:w="146"/>
        <w:gridCol w:w="146"/>
        <w:gridCol w:w="403"/>
        <w:gridCol w:w="1097"/>
        <w:gridCol w:w="2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 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in accordance with (ASC 820-10-50), </w:t>
      </w:r>
      <w:r>
        <w:rPr>
          <w:rFonts w:ascii="Times New Roman" w:hAnsi="Times New Roman"/>
          <w:i/>
          <w:color w:val="000000"/>
          <w:sz w:val="20"/>
        </w:rPr>
        <w:t>Fair Value Measurements and Disclosures</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 Inputs to the valuation methodology are quoted prices for identical assets or liabilities in active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 Inputs to the valuation methodology that are unobservable. Unobservable inputs are those in which little or no market data exists and are therefore determined using estimates and assumptions developed by the Company, which reflect those that a market participant would use.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transferred any instruments between the three levels of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 short maturities. We measure our cash equivalents, marketable securities and our liability classified warrants at fair value on a recurring basis. The fair values of such assets and liabilities were as follows as of June 30, 2026 and December 31, 2025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95"/>
        <w:gridCol w:w="146"/>
        <w:gridCol w:w="236"/>
        <w:gridCol w:w="760"/>
        <w:gridCol w:w="146"/>
        <w:gridCol w:w="146"/>
        <w:gridCol w:w="545"/>
        <w:gridCol w:w="1746"/>
        <w:gridCol w:w="146"/>
        <w:gridCol w:w="146"/>
        <w:gridCol w:w="673"/>
        <w:gridCol w:w="1108"/>
        <w:gridCol w:w="146"/>
        <w:gridCol w:w="146"/>
        <w:gridCol w:w="409"/>
        <w:gridCol w:w="1316"/>
        <w:gridCol w:w="295"/>
      </w:tblGrid>
      <w:tr>
        <w:trPr/>
        <w:tc>
          <w:tcPr>
            <w:tcW w:w="2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75"/>
        <w:gridCol w:w="882"/>
        <w:gridCol w:w="146"/>
        <w:gridCol w:w="146"/>
        <w:gridCol w:w="531"/>
        <w:gridCol w:w="1701"/>
        <w:gridCol w:w="146"/>
        <w:gridCol w:w="146"/>
        <w:gridCol w:w="660"/>
        <w:gridCol w:w="1086"/>
        <w:gridCol w:w="146"/>
        <w:gridCol w:w="146"/>
        <w:gridCol w:w="402"/>
        <w:gridCol w:w="1296"/>
        <w:gridCol w:w="295"/>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Included in cash and cash equivalents in the accompanying condensed consolidated balance sheet. Marketable debt securities purchased with an original maturity of three months or less have been classified as cash equivalents.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Lineage’s marketable equity securities include the shares of stock of HBL which has a readily determinable fair value quoted on the TASE (Level 1). These securities are measured at fair value and reported as current assets on the accompanying condensed consolidated balance sheet based on the closing trading price of the security as of the date being presented.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Liability-classified warrants are valued at issuance, upon warrant exercise, and at each reporting period end date while the warrants are outstanding using a Black-Scholes option pricing model that maximizes the use of observable inputs and minimizes the use of unobservable inputs to the extent possible. Changes in the fair value of liability-classified warrants are recorded in the condensed consolidated statements of operations, and reflected as an adjustment to reconcile net loss to net cash used in operating activities in the condensed consolidated statements of cash flows. A significant increase or decrease in these Level 3 inputs could result in a significantly higher or lower fair value measurement. See Note 10 (Shareholders’ Equity) for additional information on the warrants.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a summary of changes to Level 3 fair value measurements (in thousands):</w:t>
      </w:r>
    </w:p>
    <w:p>
      <w:pPr>
        <w:pStyle w:val="TextBody"/>
        <w:bidi w:val="0"/>
        <w:jc w:val="both"/>
        <w:rPr/>
      </w:pPr>
      <w:r>
        <w:rPr/>
        <w:t> </w:t>
      </w:r>
    </w:p>
    <w:tbl>
      <w:tblPr>
        <w:tblW w:w="8590" w:type="dxa"/>
        <w:jc w:val="left"/>
        <w:tblInd w:w="0" w:type="dxa"/>
        <w:tblLayout w:type="fixed"/>
        <w:tblCellMar>
          <w:top w:w="28" w:type="dxa"/>
          <w:left w:w="28" w:type="dxa"/>
          <w:bottom w:w="28" w:type="dxa"/>
          <w:right w:w="28" w:type="dxa"/>
        </w:tblCellMar>
      </w:tblPr>
      <w:tblGrid>
        <w:gridCol w:w="4931"/>
        <w:gridCol w:w="146"/>
        <w:gridCol w:w="324"/>
        <w:gridCol w:w="1131"/>
        <w:gridCol w:w="166"/>
        <w:gridCol w:w="146"/>
        <w:gridCol w:w="346"/>
        <w:gridCol w:w="1109"/>
        <w:gridCol w:w="291"/>
      </w:tblGrid>
      <w:tr>
        <w:trPr/>
        <w:tc>
          <w:tcPr>
            <w:tcW w:w="4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Share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Change in fair value of warrant liability recognized in the </w:t>
              <w:br/>
              <w:t>   consolidated statement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warrant liability reclassified to equity</w:t>
              <w:br/>
              <w:t>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3 inputs - </w:t>
      </w:r>
      <w:r>
        <w:rPr>
          <w:rFonts w:ascii="Times New Roman" w:hAnsi="Times New Roman"/>
          <w:color w:val="000000"/>
          <w:sz w:val="20"/>
        </w:rPr>
        <w:t>Significant assumptions used in valuing the warrant liabilities were as follows:</w:t>
      </w:r>
    </w:p>
    <w:p>
      <w:pPr>
        <w:pStyle w:val="TextBody"/>
        <w:bidi w:val="0"/>
        <w:jc w:val="both"/>
        <w:rPr/>
      </w:pPr>
      <w:r>
        <w:rPr/>
        <w:t> </w:t>
      </w:r>
    </w:p>
    <w:tbl>
      <w:tblPr>
        <w:tblW w:w="6285" w:type="dxa"/>
        <w:jc w:val="left"/>
        <w:tblInd w:w="0" w:type="dxa"/>
        <w:tblLayout w:type="fixed"/>
        <w:tblCellMar>
          <w:top w:w="28" w:type="dxa"/>
          <w:left w:w="28" w:type="dxa"/>
          <w:bottom w:w="28" w:type="dxa"/>
          <w:right w:w="28" w:type="dxa"/>
        </w:tblCellMar>
      </w:tblPr>
      <w:tblGrid>
        <w:gridCol w:w="2626"/>
        <w:gridCol w:w="146"/>
        <w:gridCol w:w="448"/>
        <w:gridCol w:w="1067"/>
        <w:gridCol w:w="146"/>
        <w:gridCol w:w="146"/>
        <w:gridCol w:w="448"/>
        <w:gridCol w:w="1067"/>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 - 81.37%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 - 74.46%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 - 4.12%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 - 4.25%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1.89 - 2.22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2.89 - 3.32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expected stock price volatility assumption is determined using historical volatility of the Company’s common stock. The risk-free interest rate assumption is based on the U.S. Treasury yield curve whose term is consistent with the expected term of the stock options. The expected dividend yield is 0% as the Company has not paid and does not anticipate paying dividends on its common stock. The expected term represents the period from the date of warrant issuance to May 21, 2028. At each reporting period end date, the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term is reduced to reflect the remaining term of the warrants. Because the term of the warrants could expire earlier than May 21, 2028 upon the occurrence of a future event and subject to specified conditions being satisfied, the expected term could be shortened in subsequent periods. See Note 10 (Shareholders’ Equity) for additional information regarding the warrants.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2025, we sold 7,894,737 common shares and an accompanying warrant to purchase up to 7,894,737 common shares to Broadwood Partners, L.P. (“Broadwood Partners”), an affiliate of Neal Bradsher, a member of our board of directors. See Note 10 (Shareholders’ Equity) for additional information regarding such offering.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Shareholders’ Equity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Preferred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2,000,000 preferred shares. The preferred shares may be issued in one or more series as the Lineage board of directors may determine by resolution. The Lineage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The Lineage board of directors may, by resolution, increase or decrease (but not below the number of shares of such series then outstanding) the number of shares of any series of preferred shares subsequent to the issue of shares of that series. There were no preferred shares issued or outstanding as of either June 30, 2026 or December 31,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450,000,000 common shares. As of June 30, 2026 and December 31, 2025, there were 252,907,464 and 243,121,801 common shares issued and outstanding,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2024, Lineage entered into a sales agreement (the “ATM Sales Agreement”) with B. Riley Securities, Inc., as sales agent (“Sales Agent”), under which Lineage may offer and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3.6 million common shares were sold under the ATM program at a weighted average price per share of $1.28 for gross proceeds of $4.6 million. During the three and six months ended June 30, 2025 no common shares were sold under the ATM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Lineage agreed to pay Sales Agent a commission of up to 3.0% of the aggregate gross proceeds from the sale of shares under the ATM Sales Agreement, reimburse its legal fees and disbursements, and provide Sales Agent with customary indemnification and contribution rights. The Sales Agreement may be terminated by Sales Agent or Lineage at any time upon notice to the other party, or by Sales Agent at any time in certain circumstances, including the occurrence of a material and adverse change in Lineage’s business or financial condition that makes it impractical or inadvisable to market the shares or to enforce contracts for the sale of the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in connection with the 12.0 million shares sold under the ATM program in November 2025 for gross proceeds of $21.0 million, Lineage paid another financial advisor a 6% placement agent fee.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sold under the ATM Program are offered and sold under our shelf registration statement on Form S-3 (File No. 333-277758), which was filed with the SEC on March 7, 2024 and declared effective on May 14, 2024, and the prospectus, as updated, amended and supplemented from time to time, that forms a part thereof. The most recent prospectus supplement was filed on March 11, 2026, pursuant to which we may offer and sell from time to time under the ATM Sales Agreement an aggregate of up to $60.0 million, excluding the $22.6 million in aggregate gross sales price of our common shares we sold pursuant to prior prospectus supplements and the prospectus dated May 14, 2024.</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November 2024 Registered Direct Offering - January 2025 Closing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we entered into securities purchase agreements with unaffiliated healthcare focused institutional investors and with Broadwood Partners relating to the purchase and sale in a registered direct offering of an aggregate of up to 39,473,688 of our common shares and accompanying warrants to purchase an aggregate of up to 39,473,688 of our common shares at a combined purchase price of $0.76 per common share and accompanying warrant (the “November 2024 RDO”). In connection with the first closing of this offering, which occurred in November 2024, we issued to the unaffiliated healthcare focused institutional investors an aggregate of 31,578,951 common shares and accompanying warrants to purchase an aggregate of up to 31,578,951 of our common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offering of the securities to Broadwood Partners was subject to obtaining shareholder approval to satisfy applicable NYSE American rules, which was obtained at our special meeting of shareholders on January 27, 2025. Following such meeting, we issued to Broadwood Partners 7,894,737 common shares and an accompanying warrant to purchase up to 7,894,737 common shares, and we received aggregate gross proceeds of $6.0 million, with approximately $0.6 million for related issuance costs (the “January 2025 Closing”). The warrant issued to Broadwood Partners had a fair value of approximately $2.1 million at issuance and is classified as a warrant liability in the Company’s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warrants issued in the November 2024 RDO have an exercise price of $0.91 per common share, have been exercisable since May 21, 2025, and will expire on the earlier of (a) May 21, 2028, and (b) the 90th day following the date of the public disclosure of the intent to advance OpRegen (also known as RG6501) into a multi-center phase 2 or 3 clinical trial which includes a control or comparator arm, subject to extension if certain conditions, including equity conditions, some of which are outside of our control, are not satisfied. The warrants provide for cashless exercise in certain circumstances, including if the shares issuable upon exercise thereof are not covered by an effective registration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an engagement letter with H.C. Wainwright &amp; Co., LLC (“Wainwright”), pursuant to which Wainwright agreed to serve as our exclusive placement agent, on a reasonable best efforts basis, in connection with the November 2024 RDO. We paid Wainwright a cash fee equal to 7.0% and a management fee equal to 1.0%, in each case, of the aggregate gross proceeds we received at each closing. In addition, at each closing, we issued to Wainwright (or its designees) warrants to purchase our common shares with terms that are substantially similar to those described above except that the warrants issued to Wainwright (or its designees) have an exercise price of $0.95 per share. In the aggregate we issued to Wainwright (or its designees) warrants to purchase up to 1,973,684 of our common shares. The warrants issued to Wainwright (or its designees) in connection with the January 2025 Closing had a fair value of approximately $0.1 million at issuance and are classified as warrant liabilities in the Company’s condensed consolidated financial statements. See Note 8 (Fair Value Measurements) for additional information regarding the warrants issued in connection with the November 2024 RDO.</w:t>
      </w:r>
    </w:p>
    <w:p>
      <w:pPr>
        <w:pStyle w:val="TextBody"/>
        <w:bidi w:val="0"/>
        <w:spacing w:before="360" w:after="283"/>
        <w:jc w:val="both"/>
        <w:rPr>
          <w:rFonts w:ascii="Times New Roman" w:hAnsi="Times New Roman"/>
          <w:sz w:val="20"/>
        </w:rPr>
      </w:pPr>
      <w:r>
        <w:rPr>
          <w:rFonts w:ascii="Times New Roman" w:hAnsi="Times New Roman"/>
          <w:i/>
          <w:color w:val="000000"/>
          <w:sz w:val="20"/>
        </w:rPr>
        <w:t>Summary of Common Stock Warrant Activity and Outstanding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roll-forward presents the Company’s common stock warrants outstanding as of June 30, 2026 (in thousands, except per share amounts): </w:t>
      </w:r>
    </w:p>
    <w:p>
      <w:pPr>
        <w:pStyle w:val="TextBody"/>
        <w:bidi w:val="0"/>
        <w:jc w:val="both"/>
        <w:rPr/>
      </w:pPr>
      <w:r>
        <w:rPr/>
        <w:t> </w:t>
      </w:r>
    </w:p>
    <w:tbl>
      <w:tblPr>
        <w:tblW w:w="5595" w:type="dxa"/>
        <w:jc w:val="left"/>
        <w:tblInd w:w="0" w:type="dxa"/>
        <w:tblLayout w:type="fixed"/>
        <w:tblCellMar>
          <w:top w:w="28" w:type="dxa"/>
          <w:left w:w="28" w:type="dxa"/>
          <w:bottom w:w="28" w:type="dxa"/>
          <w:right w:w="28" w:type="dxa"/>
        </w:tblCellMar>
      </w:tblPr>
      <w:tblGrid>
        <w:gridCol w:w="2596"/>
        <w:gridCol w:w="146"/>
        <w:gridCol w:w="199"/>
        <w:gridCol w:w="926"/>
        <w:gridCol w:w="166"/>
        <w:gridCol w:w="146"/>
        <w:gridCol w:w="350"/>
        <w:gridCol w:w="775"/>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Warrants </w:t>
              <w:br/>
              <w:t xml:space="preserve">Outstanding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See Note 8 (Fair Value Measurements) for additional information on the warrants.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11. Stock-Based Awards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Equity Incentive Plan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2021, our shareholders approved the Lineage Cell Therapeutics, Inc. 2021 Equity Incentive Plan, and our shareholders approved amendments to increase the number of common shares that may be issued thereunder by 19,500,000 in September 2023 and by an additional 19,500,000 in June 2025 (as amended to date, the “2021 Plan”). The 2021 Plan provides for the grant of incentive stock options, non-statutory stock options, stock appreciation rights, restricted stock awards, restricted stock units (“RSUs”), and other stock awards. Generally, all of our employees (including those of our affiliates), non-employee directors and consultants are eligible to participate in the 2021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adjustment for certain changes in our capitalization, the aggregate number of our common shares that may be issued under the 2021 Plan will not exceed the sum of (i) 54,500,000 shares and (ii) the number of shares subject to awards granted under the Lineage Cell Therapeutics Inc. 2012 Equity Incentive Plan (the “2012 Plan”) that were outstanding when the 2021 Plan initially became effective in 2021 and are not issued because such awards expire or otherwise terminate. As a result of the approval of the 2021 Plan by our shareholders in 2021, no additional awards will be granted under the 2012 Plan. As of June 30, 2026, there were 27,194,208 shares available for grant under the 2021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under the 2021 Plan is as follows (in thousands, except per share amounts):</w:t>
      </w:r>
    </w:p>
    <w:p>
      <w:pPr>
        <w:pStyle w:val="TextBody"/>
        <w:bidi w:val="0"/>
        <w:jc w:val="both"/>
        <w:rPr/>
      </w:pPr>
      <w:r>
        <w:rPr/>
        <w:t> </w:t>
      </w:r>
    </w:p>
    <w:tbl>
      <w:tblPr>
        <w:tblW w:w="9729" w:type="dxa"/>
        <w:jc w:val="left"/>
        <w:tblInd w:w="0" w:type="dxa"/>
        <w:tblLayout w:type="fixed"/>
        <w:tblCellMar>
          <w:top w:w="28" w:type="dxa"/>
          <w:left w:w="28" w:type="dxa"/>
          <w:bottom w:w="28" w:type="dxa"/>
          <w:right w:w="28" w:type="dxa"/>
        </w:tblCellMar>
      </w:tblPr>
      <w:tblGrid>
        <w:gridCol w:w="3116"/>
        <w:gridCol w:w="146"/>
        <w:gridCol w:w="199"/>
        <w:gridCol w:w="926"/>
        <w:gridCol w:w="166"/>
        <w:gridCol w:w="146"/>
        <w:gridCol w:w="350"/>
        <w:gridCol w:w="775"/>
        <w:gridCol w:w="146"/>
        <w:gridCol w:w="146"/>
        <w:gridCol w:w="250"/>
        <w:gridCol w:w="800"/>
        <w:gridCol w:w="146"/>
        <w:gridCol w:w="146"/>
        <w:gridCol w:w="471"/>
        <w:gridCol w:w="1509"/>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vested and expected to vest </w:t>
              <w:br/>
              <w: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5745" w:type="dxa"/>
        <w:jc w:val="left"/>
        <w:tblInd w:w="0" w:type="dxa"/>
        <w:tblLayout w:type="fixed"/>
        <w:tblCellMar>
          <w:top w:w="28" w:type="dxa"/>
          <w:left w:w="28" w:type="dxa"/>
          <w:bottom w:w="28" w:type="dxa"/>
          <w:right w:w="28" w:type="dxa"/>
        </w:tblCellMar>
      </w:tblPr>
      <w:tblGrid>
        <w:gridCol w:w="2596"/>
        <w:gridCol w:w="146"/>
        <w:gridCol w:w="289"/>
        <w:gridCol w:w="836"/>
        <w:gridCol w:w="166"/>
        <w:gridCol w:w="146"/>
        <w:gridCol w:w="397"/>
        <w:gridCol w:w="878"/>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RSUs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of the 2012 Plan, and the 2018 inducement option (which was issued to a Lineage executive outside of all equity plans), is as follows (in thousands, except per share amounts):</w:t>
      </w:r>
    </w:p>
    <w:p>
      <w:pPr>
        <w:pStyle w:val="TextBody"/>
        <w:bidi w:val="0"/>
        <w:jc w:val="both"/>
        <w:rPr/>
      </w:pPr>
      <w:r>
        <w:rPr/>
        <w:t> </w:t>
      </w:r>
    </w:p>
    <w:tbl>
      <w:tblPr>
        <w:tblW w:w="6115" w:type="dxa"/>
        <w:jc w:val="left"/>
        <w:tblInd w:w="0" w:type="dxa"/>
        <w:tblLayout w:type="fixed"/>
        <w:tblCellMar>
          <w:top w:w="28" w:type="dxa"/>
          <w:left w:w="28" w:type="dxa"/>
          <w:bottom w:w="28" w:type="dxa"/>
          <w:right w:w="28" w:type="dxa"/>
        </w:tblCellMar>
      </w:tblPr>
      <w:tblGrid>
        <w:gridCol w:w="3116"/>
        <w:gridCol w:w="146"/>
        <w:gridCol w:w="228"/>
        <w:gridCol w:w="897"/>
        <w:gridCol w:w="166"/>
        <w:gridCol w:w="146"/>
        <w:gridCol w:w="350"/>
        <w:gridCol w:w="775"/>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within the condensed consolidated statements of operations include stock-based compensation expense as follows (in thousands):</w:t>
      </w:r>
    </w:p>
    <w:p>
      <w:pPr>
        <w:pStyle w:val="TextBody"/>
        <w:bidi w:val="0"/>
        <w:jc w:val="both"/>
        <w:rPr/>
      </w:pPr>
      <w:r>
        <w:rPr/>
        <w:t> </w:t>
      </w:r>
    </w:p>
    <w:tbl>
      <w:tblPr>
        <w:tblW w:w="8194" w:type="dxa"/>
        <w:jc w:val="left"/>
        <w:tblInd w:w="0" w:type="dxa"/>
        <w:tblLayout w:type="fixed"/>
        <w:tblCellMar>
          <w:top w:w="28" w:type="dxa"/>
          <w:left w:w="28" w:type="dxa"/>
          <w:bottom w:w="28" w:type="dxa"/>
          <w:right w:w="28" w:type="dxa"/>
        </w:tblCellMar>
      </w:tblPr>
      <w:tblGrid>
        <w:gridCol w:w="3651"/>
        <w:gridCol w:w="146"/>
        <w:gridCol w:w="211"/>
        <w:gridCol w:w="572"/>
        <w:gridCol w:w="146"/>
        <w:gridCol w:w="146"/>
        <w:gridCol w:w="211"/>
        <w:gridCol w:w="572"/>
        <w:gridCol w:w="146"/>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June 30, 2026, total unrecognized compensation costs related to unvested stock options and unvested RSUs under all equity plans, were $15.0 million, which is expected to be recognized as expense over a weighted average period of approximately 2.9 years for stock options and 0.3 years for RSUs.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Basic and diluted net income (loss) per share attributable to common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earnings per share is calculated by dividing net income or loss attributable to Lineage common shareholders by the weighted average number of common shares outstanding, net of stock options, RSUs, and warrants,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outstanding stock options, restricted stock awards and warrants, using the treasury-stock method, convertible preferred stock, if any, using the if-converted method, and treasury stock held by subsidiaries, if any. Our liability-classified warrants are treated as equity in the calculation of diluted loss per share in both the computation of the numerator and denominator, if dilutive.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calculations of basic and diluted earnings per share for the three and six months ended June 30, 2026. The warrants were deemed to be anti-dilutive for the three and six months ended June 30, 2025, and therefore no diluted loss per share computation is presented for the prior year periods: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69"/>
        <w:gridCol w:w="146"/>
        <w:gridCol w:w="389"/>
        <w:gridCol w:w="1442"/>
        <w:gridCol w:w="166"/>
        <w:gridCol w:w="146"/>
        <w:gridCol w:w="368"/>
        <w:gridCol w:w="1365"/>
        <w:gridCol w:w="314"/>
      </w:tblGrid>
      <w:tr>
        <w:trPr/>
        <w:tc>
          <w:tcPr>
            <w:tcW w:w="5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Lineage - basic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 to remove income impact for assumed conversion of dilutive warrants (change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(11,767</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Lineage - 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(15,097</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used to compute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247,276</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Plus incremental shares from assumed conversion of dilutive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used to compute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261,524</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attributable to Lineage: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8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common share equivalents were excluded from the computation of diluted net loss per common share for the periods presented because including them would have been antidilutive (in thousands): </w:t>
      </w:r>
    </w:p>
    <w:p>
      <w:pPr>
        <w:pStyle w:val="TextBody"/>
        <w:bidi w:val="0"/>
        <w:spacing w:before="40" w:after="283"/>
        <w:jc w:val="both"/>
        <w:rPr/>
      </w:pPr>
      <w:r>
        <w:rPr/>
        <w:t> </w:t>
      </w:r>
    </w:p>
    <w:tbl>
      <w:tblPr>
        <w:tblW w:w="5063" w:type="dxa"/>
        <w:jc w:val="left"/>
        <w:tblInd w:w="0" w:type="dxa"/>
        <w:tblLayout w:type="fixed"/>
        <w:tblCellMar>
          <w:top w:w="28" w:type="dxa"/>
          <w:left w:w="28" w:type="dxa"/>
          <w:bottom w:w="28" w:type="dxa"/>
          <w:right w:w="28" w:type="dxa"/>
        </w:tblCellMar>
      </w:tblPr>
      <w:tblGrid>
        <w:gridCol w:w="1876"/>
        <w:gridCol w:w="146"/>
        <w:gridCol w:w="215"/>
        <w:gridCol w:w="995"/>
        <w:gridCol w:w="215"/>
        <w:gridCol w:w="215"/>
        <w:gridCol w:w="215"/>
        <w:gridCol w:w="995"/>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 xml:space="preserve">Warrants </w:t>
            </w: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warrants outstanding for the three and six months ended June 30, 2026 were deemed to be dilutive, and therefore included in the computation of diluted net loss per common share.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provision for income taxes for interim periods is generally determined using an estimated annual effective tax rate as prescribed by ASC 740-270, </w:t>
      </w:r>
      <w:r>
        <w:rPr>
          <w:rFonts w:ascii="Times New Roman" w:hAnsi="Times New Roman"/>
          <w:i/>
          <w:color w:val="000000"/>
          <w:sz w:val="20"/>
        </w:rPr>
        <w:t>Income Taxes, Interim Reporting</w:t>
      </w:r>
      <w:r>
        <w:rPr>
          <w:rFonts w:ascii="Times New Roman" w:hAnsi="Times New Roman"/>
          <w:color w:val="000000"/>
          <w:sz w:val="20"/>
        </w:rPr>
        <w:t>. The effective tax rate may be subject to fluctuations during the year as new information is obtained, which may affect the assumptions used to estimate the annual effective tax rate, including factors such as valuation allowances and changes in valuation allowances against deferred tax assets, the recognition or de-recognition of tax benefits related to uncertain tax positions, if any, and changes in or the interpretation of tax laws in jurisdictions where Lineage conducts business. ASC 740-270 also states that if an entity is unable to reliably estimate some or a part of its ordinary income or loss, the income tax provision or benefit applicable to the item that cannot be estimated shall be reported in the interim period in which the item is reported. For items that Lineage cannot reliably estimate on an annual basis, Lineage uses the actual year to date effective tax rate rather than an estimated annual effective tax rate to determine the tax effect of each item, including the use of all available net operating losses and other credits or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ASC 740, a valuation allowance is provided when it is more likely than not that some portion of the deferred tax assets will not be realized. As of December 31, 2025, Lineage released the valuation allowance associated with the Israel subsidiary’s deferred tax assets based on sustained profitability and other positive evidence. Lineage continues to maintain a full valuation allowance against the U.S. and Singapore deferred tax assets due to the uncertainty of realizing future tax benefits from its net operating loss carryforwards and other deferred tax assets in those jurisdictions.</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Company’s income tax provision and effective tax rate may fluctuate from period to period as a result of several factors, including fluctuations in foreign currency exchange rates. Significant or unexpected movements in foreign currency exchange rates could adversely affect the Company’s income tax expense and effective tax rate in future periods.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Lineage did not record a deferred tax benefit or provision expense during the three and six months ended June 30, 2026 or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Real Property Leases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Lineage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2019, Lineage entered into a lease for approximately 8,841 square feet of rentable space in an office park in Carlsbad, California. The lease was amended in December 2022 and again in September 2025. Under the amendment entered into in September 2025, the term of the lease was extended for 36 months commencing on April 1, 2026, and commencing on December 1, 2025, the monthly base rent was reduced from $26,700 to $24,800, subject to 3% annual increases and rent will be abated for April 2026 through July 2026. As security for the performance of its obligations under the lease, Lineage provided the landlord a security deposit of $17,850, which is included in deposits and other long-term assets on the condensed consolidated balance sheet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base rent, Lineage pays a pro-rata portion of increases in certain expenses, including real property taxes, utilities (to the extent not separately metered to the leased space) and the landlord’s operating expenses, over the amounts of those expenses incurred by the landlord. These pro-rata charges are expensed as incurred and excluded from the calculation of the right-of-use assets and lease liabilities.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Lineage Subleases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2022, Lineage entered into a sublease for approximately 4,500 square feet of rentable industrial space in Carlsbad, California for a term that commenced on October 1, 2022. In February 2024, Lineage extended the term of the sublease for 24 months through March 31, 2026. The base rent was $23,000 per month for the first twelve months of the extended term and was $23,500 for the remaining twelve months through March 31, 2026. As security for the performance of its obligations under the sublease, Lineage had provided the landlord with a security deposit of $22,500, which was returned to Lineage during the second quarter of 2026 upon the termination of the sublease.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termination of the above sublease, Lineage entered into a new sublease in December 2025 for approximately 1,674 square feet of rentable industrial space in San Diego, California, for a 38-month term that commenced in February 2026. The base rent is $5,189 per month, plus a 4% management fee, for the first twelve months with an annual increase of 3.5%, with rent abatements in March 2026 and February 2027. As security for the performance of its obligations under the sublease, Lineage provided the landlord with a security deposit of $10,378, which is included in deposits and other long term assets, on the condensed consolidated balance sheet as of June 30,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CCN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CCN leases approximately 2,096 square meters (approximately 22,600 square feet) of combined office and laboratory space in Jerusalem, Israel under a master lease, as amended, that expires December 31, 2027. Cumulative base rent and construction allowance payments are approximately 165,000 Israeli New Shekels (“ILS”) per month (approximately $55,000 as of June 30, 2026), excluding any future rent escalations, and includes options to extend the lease term for five years. The U.S. dollar value of the ILS denominated base rent and construction allowance payments fluctuates based upon currency exchange rates. In addition to base rent, CCN pays a pro-rata share of real property taxes and certain costs related to the operation and maintenance of the building in which the leased premises are located, including parking usage fees. These pro-rata charges are expensed as incurred and excluded from the calculation of the ROU assets and lease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CCN has security deposits denominated in ILS with the landlord for this master lease which is classified as restricted cash during the term of the lease. The U.S. dollar value of the ILS denominated security deposits fluctuates based upon currency exchange rates and was $562,000 as of June 30, 2026, which is included in deposits and other long-term assets on the condensed consolidated balance sheet.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Supplemental Information –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p>
      <w:pPr>
        <w:pStyle w:val="TextBody"/>
        <w:bidi w:val="0"/>
        <w:jc w:val="left"/>
        <w:rPr/>
      </w:pPr>
      <w:r>
        <w:rPr/>
        <w:t> </w:t>
      </w:r>
    </w:p>
    <w:tbl>
      <w:tblPr>
        <w:tblW w:w="7916" w:type="dxa"/>
        <w:jc w:val="left"/>
        <w:tblInd w:w="0" w:type="dxa"/>
        <w:tblLayout w:type="fixed"/>
        <w:tblCellMar>
          <w:top w:w="28" w:type="dxa"/>
          <w:left w:w="28" w:type="dxa"/>
          <w:bottom w:w="28" w:type="dxa"/>
          <w:right w:w="28" w:type="dxa"/>
        </w:tblCellMar>
      </w:tblPr>
      <w:tblGrid>
        <w:gridCol w:w="5311"/>
        <w:gridCol w:w="146"/>
        <w:gridCol w:w="280"/>
        <w:gridCol w:w="560"/>
        <w:gridCol w:w="194"/>
        <w:gridCol w:w="194"/>
        <w:gridCol w:w="280"/>
        <w:gridCol w:w="560"/>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Cash paid for amounts included in the measurement of </w:t>
              <w:br/>
              <w: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Supplemental balance sheet information related to leases is as follows (in thousands, except lease term and discount rate):</w:t>
      </w:r>
    </w:p>
    <w:p>
      <w:pPr>
        <w:pStyle w:val="TextBody"/>
        <w:bidi w:val="0"/>
        <w:jc w:val="both"/>
        <w:rPr/>
      </w:pPr>
      <w:r>
        <w:rPr/>
        <w:t> </w:t>
      </w:r>
    </w:p>
    <w:tbl>
      <w:tblPr>
        <w:tblW w:w="7970" w:type="dxa"/>
        <w:jc w:val="left"/>
        <w:tblInd w:w="0" w:type="dxa"/>
        <w:tblLayout w:type="fixed"/>
        <w:tblCellMar>
          <w:top w:w="28" w:type="dxa"/>
          <w:left w:w="28" w:type="dxa"/>
          <w:bottom w:w="28" w:type="dxa"/>
          <w:right w:w="28" w:type="dxa"/>
        </w:tblCellMar>
      </w:tblPr>
      <w:tblGrid>
        <w:gridCol w:w="3591"/>
        <w:gridCol w:w="646"/>
        <w:gridCol w:w="276"/>
        <w:gridCol w:w="749"/>
        <w:gridCol w:w="166"/>
        <w:gridCol w:w="646"/>
        <w:gridCol w:w="352"/>
        <w:gridCol w:w="953"/>
        <w:gridCol w:w="591"/>
      </w:tblGrid>
      <w:tr>
        <w:trPr/>
        <w:tc>
          <w:tcPr>
            <w:tcW w:w="359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net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finance lease liabilities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 years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years</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 years</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commitments are as follows as of June 30, 2026 (in thousands):</w:t>
      </w:r>
    </w:p>
    <w:p>
      <w:pPr>
        <w:pStyle w:val="TextBody"/>
        <w:bidi w:val="0"/>
        <w:jc w:val="left"/>
        <w:rPr/>
      </w:pPr>
      <w:r>
        <w:rPr/>
        <w:t> </w:t>
      </w:r>
    </w:p>
    <w:tbl>
      <w:tblPr>
        <w:tblW w:w="6020" w:type="dxa"/>
        <w:jc w:val="left"/>
        <w:tblInd w:w="0" w:type="dxa"/>
        <w:tblLayout w:type="fixed"/>
        <w:tblCellMar>
          <w:top w:w="28" w:type="dxa"/>
          <w:left w:w="28" w:type="dxa"/>
          <w:bottom w:w="28" w:type="dxa"/>
          <w:right w:w="28" w:type="dxa"/>
        </w:tblCellMar>
      </w:tblPr>
      <w:tblGrid>
        <w:gridCol w:w="2401"/>
        <w:gridCol w:w="146"/>
        <w:gridCol w:w="367"/>
        <w:gridCol w:w="998"/>
        <w:gridCol w:w="166"/>
        <w:gridCol w:w="146"/>
        <w:gridCol w:w="449"/>
        <w:gridCol w:w="736"/>
        <w:gridCol w:w="6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lease expense was $0.3 million and $0.6 million for each of the three and six months ended June 30, 2026 and 2025,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Roche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Lineage entered into a worldwide collaboration and license agreement with Roche, wherein Lineage granted to Roche exclusive worldwide rights to develop and commercialize RPE cell therapies, including OpRegen, for the treatment of ocular disorders, including GA secondary to AMD.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this Agreement, Roche paid Lineage a $50.0 million upfront payment (which was received in January 2022) and another $5.0 million milestone payment (which was received in December 2025). Lineage is eligible to receive up to an additional $615.0 million in developmental, regulatory and commercialization milestone payments. Lineage also is eligible for tiered double-digit percentage royalties on net sales of OpRegen in the U.S. and other major markets. All regulatory and commercial milestone payments and royalty payments are subject to the existence of certain intellectual property rights that cover OpRegen at the time such payments would otherwise become due, and the royalty payments on net sales of OpRegen are subject to financial offsets based on the existence of competing products. Roche assumed responsibility for further clinical development and commercialization of OpRegen. Lineage is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responsible for completing activities related to its ongoing phase 1/2a clinical study,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by either party, the Roche Agreement will expire on a product-by-product and country-by-country basis upon the expiration of all of Roche’s payment obligations under the agreement. Roche may terminate the agreement in its entirety, or on a product-by-product or country-by-country basis, at any time with advance written notice. Either party may terminate the agreement in its entirety with written notice for the other party’s material breach if such party fails to cure the breach or upon certain insolvency events involving the other party.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Agreements with Hadasit and IIA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OpRegen program was supported in part with licenses to technology obtained from Hadasit, the technology transfer company of Hadassah Medical Center, and through a series of research grants from the IIA, an independent agency created to address the needs of global innovation ecosystems. A subset of the intellectual property underlying OpRegen was originally generated at Hadassah Medical Center and licensed to CCN for further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Encouragement of Research, Development and Technological Innovation in the Industry Law 5744, and the regulations, guidelines, rules, procedures and benefit tracks thereunder (collectively, the “Innovation Law”), annual research and development programs that meet specified criteria and were approved by a committee of the IIA were eligible for grants. The grants awarded were typically up to 50% of the project’s expenditures, as determined by the IIA committee and subject to the benefit track under which the grant was awarded.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terms of the grants under the Innovation Law generally require that the products developed as part of the programs under which the grants were given be manufactured in Israel. The know-how developed thereunder may not be transferred outside of Israel unless prior written approval is received from the IIA. Transfer of IIA-funded know-how outside of Israel is subject to approval and payment of a redemption fee to the IIA calculated according to formulas provided under the Innovation Law. In November 2021, the IIA research committee approved an application made by CCN with respect to the grant of an exclusive license and transfer of the technological know-how for OpRegen to Roche. Under the provisions for the redemption fee, Lineage paid the IIA approximately 24.1% of each of the $50.0 million upfront payment and the $5.0 million milestone payment it received under the Roche Agreement, or $12.1 million and $1.2 million, respectively, and is obligated to pay the IIA approximately 24.1% of any milestone and royalty payments which may be received under the Roche Agreement, up to an aggregate cap on all payments, such cap growing over time via interest accrual until paid in full. As of June 30, 2026, the aggregate cap amount was approximately $97.2 million. In accordance with obligations under the Innovation Law, Lineage continues to fund CCN to pay the downstream payments to the IIA.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Second Amended and Restated License Agreement, dated June 15, 2017, between CCN and Hadasit, and a certain letter agreement entered into on December 17, 2021, CCN paid a sublicensing fee to Hadasit of $8.9 million or 21.5% of the $50.0 million upfront payment under the Roche Agreement (subject to certain reductions), and CCN is obligated to pay Hadasit (i) a maximum of 21.5% of all milestone payments Lineage receives under the Roche Agreement (subject to certain reductions, including for costs related to Lineage’s performance obligations under the Roche Agreement), and (ii) up to 50% of all royalty payments (subject to a maximum payment of 5% of net sales of products), Lineage receives under the Roche Agreement. In accordance with the foregoing, in respect of the $5.0 million milestone payment received under the Roche Agreement in December 2025, Lineage funded CCN to pay $1.1 million to Hadasit in January 2026. The letter agreement generally terminates upon the termination of the Roche Agreement. In accordance with the terms of these agreements, the initial sublicensing fee payment to Hadasit was reduced for costs related to Lineage’s performance obligations under the Roche Agreement. To the extent such costs were not incurred within five years after the execution of the Roche Agreement, CCN would have been required to pay Hadasit 21.5% of the amount of costs not incurred; however to date, all such costs have been incurred.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Amendment to Clinical Trial and Option Agreement and License Agreement with Cancer Research UK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2020, Lineage and Asterias entered into a Second Amendment to the Clinical Trial and Option Agreement (the “Second CTOA Amendment”) with CRUK and Cancer Research Technology (“CRT”). The Second CTOA Amendment amended the initial agreement and the first amendment to the Clinical Trial and Option Agreement, each of which is dated September 8, 2014, between Asterias, CRUK and CRT. Pursuant to the Second CTOA Amendment, Lineage assumed all obligations of Asterias and exercised early its option to acquire data generated in the Phase 1 clinical trial of VAC2 in non-small cell lung cancer being conducted by CRUK. Lineage and CRT effectuated the option by simultaneously entering into a license agreement (the “CRT License Agreement”) pursuant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which Lineage paid a signature fee of £1,250,000 (approximately $1.6 million based upon exchange rates in effect when the fee was paid).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Effective June 30, 2025, Lineage determined that it was no longer going to pursue the VAC2 program, and was going to cease development and commercialization of all products under the CRT License Agreement. In conjunction therewith, CRT notified Lineage of CRT’s termination of the CRT License Agreement, which it had the right to do if Lineage ceased all development and commercialization of all products under the CRT License Agreement. Further, in conjunction therewith, Lineage notified Immunomic Therapeutics, Inc. (“ITI”) of the termination of the collaboration agreement that Lineage had entered into with ITI in April 2021 (the “ITI Agreement”) in accordance with its terms. Since June 30, 2025, the Company has abandoned all future development efforts and no longer prosecutes any of the issued patents related to the VAC platform. Accordingly, in June 2025, the Company performed an impairment assessment of the VAC platform IPR&amp;D intangible asset which resulted in a non-cash, pre-tax impairment charge during the quarter ended June 30, 2025 of $14.8 million. Additionally, Lineage recognized the remaining deferred revenue amount of approximately $0.7 million, as of the June 30, 2025 effective date of the termination of the ITI Agreement, since Lineage had no remaining performance obligations under such agreement. See Note 6 (Goodwill and Intangible Assets, Net) to our consolidated financial statements included in this report for additional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WDI Collaboration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2025, Lineage and WDI entered into a research collaboration agreement (the “RCA”) to advance the preclinical development of ReSonance (ANP1) for the treatment of hearing loss (the “Project”). WDI has agreed to fund up to $12 million in research collaboration costs over the approximate three-year term of the RCA, a portion of which has been expended to date for activities conducted in accordance with a schedule of planned activities and budget agreed to by the parties (the “RCA Budget”). The main objective of the RCA is for the parties to complete a preclinical phase achieving readiness to potentially progress to human clinical trials under one or more separate clinical agreements, the terms of which would be negotiated in good faith before the expiration of the RCA. The nature and scope of the Project, and the RCA Budget, are dynamic and actual program activities and costs may vary during the term from the originally planned activities. Lineage may incur costs in excess or below the original RCA Budget, and any actual program costs incurred that are below the funding designated to Lineage will not result in additional cash inflows to Lineage.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intellectual property owned by a party prior to the date of the RCA will remain such party’s sole and exclusive property. The parties will jointly own all results, data, reports, know-how and patent(s) conceived or otherwise generated in the course of and resulting from the Project, other than discoveries or developments relating to Lineage’s proprietary platform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party (the “abandoning party”) informs the other party (the “continuing party”) that it will not continue the research with the other party under a clinical agreement, the continuing party may purchase the abandoning party’s ownership interest in the intellectual property resulting from the Project for exploitation for the treatment of hearing loss and a license to the abandoning party’s background intellectual property to the extent necessary for such exploitation for an amount and on terms to be determined by the mutual agreement of the parties, and if such mutual agreement is not reached, by an independent third-party.</w:t>
      </w:r>
    </w:p>
    <w:p>
      <w:pPr>
        <w:pStyle w:val="TextBody"/>
        <w:bidi w:val="0"/>
        <w:spacing w:before="360" w:after="283"/>
        <w:jc w:val="both"/>
        <w:rPr>
          <w:rFonts w:ascii="Times New Roman" w:hAnsi="Times New Roman"/>
          <w:sz w:val="20"/>
        </w:rPr>
      </w:pPr>
      <w:r>
        <w:rPr>
          <w:rFonts w:ascii="Times New Roman" w:hAnsi="Times New Roman"/>
          <w:i/>
          <w:color w:val="000000"/>
          <w:sz w:val="20"/>
        </w:rPr>
        <w:t>Other Contingent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obligations under license agreements and grants received from government entities to make future payments to third parties, which become due and payable on the achievement of certain development, regulatory and commercial milestones or on the sublicense of our rights to another party. These commitments include sublicense fees, milestone payments, redemption fees and royalties.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the future achievement of certain development and regulatory milestones. Redemption fees due to the IIA under the Innovation Law are due upon receipt of any milestone or royalty payment received in respect of IIA-funded programs. Royalties are payable to licensors or government entities based on a percentage of net sales of licensed products. As of June 30, 2026, we have not included these commitments on our condensed consolidated balance sheet because the achievement and timing of these events are not fixed and determinable.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Litigation –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are subject to legal proceedings and claims in the ordinary course of business. While management presently believes that the ultimate outcome of these proceedings, individually and in the aggregate, will not materially harm our financial position, cash flows, or overall trends in results of operations, legal proceedings are subject to inherent uncertainties, and unfavorable rulings or outcomes could occur that have individually or in aggregate, a material adverse effect on our business, financial condition or operating results. We are not currently subject to any pending material litigation, other than ordinary routine litigation incidental to our business.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HBL Books and Records Request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2023, CCN received a motion for disclosure of documents pursuant to Section 198A of the Israeli Companies Law 5759-1999. The motion was filed in the district court in Tel Aviv-Yafo (the “Court”) by HBL, currently an approximately 5% shareholder of CCN. According to the motion, the requested production of documents was intended to allow HBL to examine the possibility of pursuing a derivative action related to, among other things, the validity of an intercompany Collaboration and License Agreement (the “Intercompany Agreement”) entered into between Lineage and CCN pursuant to which CCN conveyed certain rights and other assets to Lineage, and Lineage agreed to undertake certain liabilities and obligations of CCN relating to the OpRegen program. In its motion, HBL alleged, among other things, that Lineage, in its capacity as CCN’s controlling shareholder, and members of CCN’s board of directors, caused damage to CCN because the Intercompany Agreement was an interested party transaction that was not fairly priced and that exploited CCN’s resources for the benefit of Lineage. The motion sought an order to compel CCN to disclose and deliver to HBL the documents described in the motion, such additional, cumulative, or alternative relief as the Court deemed appropriate, and reimbursement of HBL’s expenses, including attorneys’ fees. The Court held a hearing on the motion in March 2024 after which the parties retained a third-party valuation firm to assess the fairness of the valuation that was performed in support of the Intercompany Agreement. In June 2025, the third-party valuation firm delivered its report stating that, in its opinion, the consideration paid by Lineage to CCN under the Intercompany Agreement was insufficient. The Court subsequently notified the parties that they were to advise the Court whether they had settled the matter between themselves. On January 14, 2026, HBL notified the Court that the parties had failed to reach a settlement and moved the Court to terminate the proceedings in order to potentially initiate separate proceedings. CCN responded to HBL’s motion on February 10, 2026 requesting that the Court deny HBL’s motion. On March 12, 2026, the Court granted HBL’s motion. As of the date of this report, HBL has not initiated any separate proceedings.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Employment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employment agreements with all of its executive officers. Under the provisions of the agreements, Lineage may be required to incur severance obligations for matters relating to changes in control, as defined in the agreements, and involuntary terminations.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Lineage may agree to indemnify and reimburse other parties, typically clinical research organizations, investigators, clinical sites, and suppliers, for losses and expenses suffered or incurred by the indemnified parties arising from claims of third parties in connection with the use or testing of Lineage’s product candidates and services. Indemnification could also cover third party infringement claims with respect to patent rights, copyrights, or other intellectual property pertaining to Lineage products and services. The term of these indemnification agreements generally continue in effect after the termination or expiration of the particular research, development, services, or license agreement to which they relate. In addition, Lineage has entered into indemnification agreements with its officers and members of its board of directors that will require Lineage, among other things, to indemnify them against certain liabilities that may arise by reason of their status or service as officers or directors. The potential future payments Lineage could be required to make under the indemnification agreements described in this paragraph will generally not be subject to any specified maximum amount. Generally, Lineage has not been subject to any material claims or demands for indemnification. Lineage maintains liability insurance policies that are intended to limit its financial exposure under certain of the indemnification agreements described in this paragraph. Lineage has not recorded any liabilities for these agreements as of June 30, 2026 or December 31,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Royalty Obligations and License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licensing agreements with research institutions, universities and other parties providing us with certain rights to use intellectual property in our research, development and commercialization activities, in exchange for which we have agreed to pay potential developmental, regulatory and/or commercial milestone payments and/or royalties on future product sales, if any. In addition, in order to maintain these licenses and other rights, we must comply with various conditions including the payment of patent related costs and annual minimum maintenance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Asterias Merger, Lineage acquired royalty revenues for cash flows generated under patent families that Asterias acquired from Geron Corporation. Lineage continues to make royalty payments to Geron from royalties generated from these patents. Royalty revenues and royalty payments are included within royalties, license and other revenues and cost of royalties, respectively, in our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2" w:name="item_2_mda"/>
      <w:bookmarkEnd w:id="12"/>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and analysis of financial condition and results of operations should be read in conjunction with our accompanying unaudited condensed consolidated interim financial statements and notes thereto and our audited financial statements and notes thereto for the year ended December 31, 2025 included in the 2025 10-K. Past operating results are not necessarily indicative of results that may occur in future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discussion includes forward-looking statements. See “Special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the 2025 10-K, and in our subsequent filings with the SEC, including any discussed in Part II, Item 1A of this report under the heading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Company and Business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biotechnology company developing cell replacement therapies to treat serious medical conditions. Certain diseases and medical events can arise from the loss of critical cellular activity and lead to devastating or difficult-to-treat conditions or impairments. Our work is grounded in the emerging evidence that replacing or supporting those cells that have become dysfunctional or “lost” (destroyed or dead) can restore or replenish normal function and improve treatment and recovery paradigms. We call this approach “Replace and Restore”. We believe cellular therapies aimed at replacing dysfunctional or destroyed cells may have more durable, broader, or suitable applicability than traditional pharmaceutical products, which often seek to affect just a single molecular target or group of biological pathways. Transplantation of replacement cells represents an emerging branch of medicine, and we believe we are uniquely positioned to capitalize on its opportunities by demonstrating the value of administering mature, differentiated cells to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development programs are based on our proprietary, in-house, cell-based manufacturing platform, which we call AlloSCOPE (Allogeneic, Scalable, Consistent, Off-the-shelf, Pluripotent Cell Engineering), and supported by our associated development, formulation, manufacturing, and delivery capabilities. The AlloSCOPE platform is a proprietary differentiation and production modality from which, i) a single, well-characterized pluripotent cell line can create a stable current Good Manufacturing Practice (cGMP) master cell bank (MCB), ii) a vial from our MCB can create a cGMP working cell bank (WCB), and iii) a vial from our WCB can create several hundred to many thousand vials of a final, allogeneic cell-based product, ready for patient dosing. This process can confer consistent, cost-effective, and scalable cell-based production. Importantly, the AlloSCOPE platform can be applied across multiple programs, which we believe could offer advantages in the pursuit of commercially successful, allogeneic and “off the shelf” cell therapies. In some instances, we also apply a proprietary “thaw-and-inject” formulation into our product profiles, which allows for rapid dosing and “immediate use” of our cells. This formulation technology can greatly reduce the lengthy dose preparation steps often associated with certain cell therapy programs. AlloSCOPE “5D” is an application of our AlloSCOPE platform, with the goal of generating large-scale production of pre-differentiated cells with reduced manipulation and passaging, and has been deployed across selected preclinical programs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strategy aims to efficiently leverage our AlloSCOPE platform and our development and manufacturing expertise to create a pipeline of related but discrete cell-based assets, some of which we may advance internally toward commercialization and some of which we may seek to partner during early or late development, if we believe doing so will enhance their probability of success and add value to Lineage and our shareholders. In some cases, the cells we manufacture or plan to manufacture have a clear clinical precedent from cadaveric sources, such as the use of corneal endothelial cells to improve vision in patients with Fuchs’ corneal dystrophy or the well-established use of islet cells to achieve insulin independence in patients with Type 1 Diabetes, each indication already having approved products or procedures in certain jurisdictions. In other cases, the utility of replacing a specific cell or related cells still needs to be established. All of our product candidates are based on our core AlloSCOPE platform, and utilize our extensive expertise in the directed differentiation and scalable production of pluripotent cells into discrete cell types of the human body.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pipeline currently includes:</w:t>
      </w:r>
    </w:p>
    <w:p>
      <w:pPr>
        <w:pStyle w:val="TextBody"/>
        <w:bidi w:val="0"/>
        <w:spacing w:before="120" w:after="120"/>
        <w:jc w:val="both"/>
        <w:rPr>
          <w:color w:val="000000"/>
        </w:rPr>
      </w:pPr>
      <w:r>
        <w:rPr>
          <w:color w:val="000000"/>
        </w:rPr>
        <w:t>•</w:t>
      </w:r>
    </w:p>
    <w:p>
      <w:pPr>
        <w:pStyle w:val="TextBody"/>
        <w:bidi w:val="0"/>
        <w:spacing w:before="120" w:after="120"/>
        <w:jc w:val="both"/>
        <w:rPr/>
      </w:pPr>
      <w:r>
        <w:rPr>
          <w:rFonts w:ascii="Times New Roman" w:hAnsi="Times New Roman"/>
          <w:i/>
          <w:color w:val="000000"/>
          <w:sz w:val="20"/>
        </w:rPr>
        <w:t>OpRegen (RG6501)</w:t>
      </w:r>
      <w:r>
        <w:rPr>
          <w:rFonts w:ascii="Times New Roman" w:hAnsi="Times New Roman"/>
          <w:color w:val="000000"/>
          <w:sz w:val="20"/>
        </w:rPr>
        <w:t xml:space="preserve">, our most clinically advanced program, an allogeneic retinal pigmented epithelial (RPE) cell replacement therapy currently in Phase 2a development under a worldwide collaboration and license agreement with F. Hoffmann-La Roche Ltd. and Genentech, Inc., a member of the Roche Group (collectively or individually, “Roche” or “Genentech”), for the treatment of geographic atrophy (GA) secondary to dry age-related macular degeneration (dry-AMD).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pPr>
      <w:r>
        <w:rPr>
          <w:rFonts w:ascii="Times New Roman" w:hAnsi="Times New Roman"/>
          <w:i/>
          <w:color w:val="000000"/>
          <w:sz w:val="20"/>
        </w:rPr>
        <w:t>OPC1</w:t>
      </w:r>
      <w:r>
        <w:rPr>
          <w:rFonts w:ascii="Times New Roman" w:hAnsi="Times New Roman"/>
          <w:color w:val="000000"/>
          <w:sz w:val="20"/>
        </w:rPr>
        <w:t xml:space="preserve">, an allogeneic oligodendrocyte progenitor cell therapy currently in Phase 1/2a development for the treatment of spinal cord injuries (SCI).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i/>
          <w:color w:val="000000"/>
          <w:sz w:val="20"/>
        </w:rPr>
        <w:t>ReSonance</w:t>
      </w:r>
      <w:r>
        <w:rPr>
          <w:rFonts w:ascii="Times New Roman" w:hAnsi="Times New Roman"/>
          <w:i/>
          <w:color w:val="000000"/>
          <w:sz w:val="13"/>
        </w:rPr>
        <w:t>TM</w:t>
      </w:r>
      <w:r>
        <w:rPr>
          <w:color w:val="000000"/>
        </w:rPr>
        <w:t xml:space="preserve"> </w:t>
      </w:r>
      <w:r>
        <w:rPr>
          <w:rFonts w:ascii="Times New Roman" w:hAnsi="Times New Roman"/>
          <w:color w:val="000000"/>
          <w:sz w:val="20"/>
        </w:rPr>
        <w:t xml:space="preserve">(ANP1), an allogeneic auditory neuron progenitor cell transplant therapy currently in preclinical development under collaboration with William Demant Invest 2 Aps (WDI) for the treatment of auditory neuropathy.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i/>
          <w:color w:val="000000"/>
          <w:sz w:val="20"/>
        </w:rPr>
        <w:t xml:space="preserve">COR1, </w:t>
      </w:r>
      <w:r>
        <w:rPr>
          <w:rFonts w:ascii="Times New Roman" w:hAnsi="Times New Roman"/>
          <w:color w:val="000000"/>
          <w:sz w:val="20"/>
        </w:rPr>
        <w:t xml:space="preserve">an allogeneic corneal endothelial cell (CEnC) transplant therapy currently in preclinical development for the treatment of corneal endothelial disease, with applicable indications expected to include Fuchs Endothelial Corneal Dystrophy (FECD) and Bullous Keratopathy.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i/>
          <w:color w:val="000000"/>
          <w:sz w:val="20"/>
        </w:rPr>
        <w:t xml:space="preserve">ILT1, </w:t>
      </w:r>
      <w:r>
        <w:rPr>
          <w:rFonts w:ascii="Times New Roman" w:hAnsi="Times New Roman"/>
          <w:color w:val="000000"/>
          <w:sz w:val="20"/>
        </w:rPr>
        <w:t>a pluripotent cell manufacturing initiative,</w:t>
      </w:r>
      <w:r>
        <w:rPr>
          <w:color w:val="000000"/>
        </w:rPr>
        <w:t xml:space="preserve"> </w:t>
      </w:r>
      <w:r>
        <w:rPr>
          <w:rFonts w:ascii="Times New Roman" w:hAnsi="Times New Roman"/>
          <w:color w:val="000000"/>
          <w:sz w:val="20"/>
        </w:rPr>
        <w:t>intended to support the large-scale production of undifferentiated pluripotent cells, which if successful and applied to islet cell differentiation, could support cell transplant treatment candidate for Type 1 Diabetes (T1D).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i/>
          <w:color w:val="000000"/>
          <w:sz w:val="20"/>
        </w:rPr>
        <w:t>RND1,</w:t>
      </w:r>
      <w:r>
        <w:rPr>
          <w:color w:val="000000"/>
        </w:rPr>
        <w:t xml:space="preserve"> </w:t>
      </w:r>
      <w:r>
        <w:rPr>
          <w:rFonts w:ascii="Times New Roman" w:hAnsi="Times New Roman"/>
          <w:color w:val="000000"/>
          <w:sz w:val="20"/>
        </w:rPr>
        <w:t>a novel hypoimmune induced pluripotent stem cell line being evaluated under a gene editing partnership with Factor Biosciences Limited (Factor) for the development of a cell transplant candidate for the potential treatment of an undisclosed indication.</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PNC1</w:t>
      </w:r>
      <w:r>
        <w:rPr>
          <w:rFonts w:ascii="Times New Roman" w:hAnsi="Times New Roman"/>
          <w:color w:val="000000"/>
          <w:sz w:val="20"/>
        </w:rPr>
        <w:t xml:space="preserve">, an allogeneic photoreceptor cell therapy research initiative for the potential treatment of vision loss due to photoreceptor dysfunction or damage.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additional information regarding our clinical programs, business strategy, AlloSCOPE platform, pipeline of preclinical programs and research initiatives, our collaborations and the grants we have received from governmental entities, see Item 1. Business in Part I of the 2025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Set forth below is a discussion of recent events and developments relating to our business. The following discussion should be read in conjunction with the description of our business set forth in Item 1. Business in Part I of the 2025 10-K.</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OpRegen Program for Dry-AMD with Geographic Atrophy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OpRegen is currently being evaluated by Roche and Genentech in a Phase 2a multicenter clinical trial in patients with GA secondary to dry-AMD, the “GAlette” study, which is currently open and active at 17 clinical sites in the U.S. and Israel (ClinicalTrials.gov ID NCT05626114). Our earlier Lineage-sponsored Phase 1/2a study has completed enrollment; we continue to perform certain closeout and data analysis related to that study. In addition, we continue to have some manufacturing and process development activities under the Roche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2026, Roche and Genentech presented data from the Phase 1/2a study at Foundation Fighting Blindness’ Retinal Therapeutics Innovation Summit 2026. Highlights include that (i) gains in best corrected visual acuity (BCVA) in patients in Cohort 4 (less advanced GA than in other cohorts) measured at month 12 remain evident through month 36; (ii) improvement in BCVA and outer retinal structure in patients with extensive OpRegen bleb coverage of their GA area was greater than in patients with limited coverage and persisted through month 36; (iii) in those patients who received extensive coverage of OpRegen cell therapy across their GA lesion (n=5), the mean change in BCVA was +9.0 letters for those completing 3-year follow-up (compared to +7.4 letters at 24 months) (Early Treatment Diabetic Retinopathy Study (ETDRS) assessment) and (iv) quantitative analysis of OCT imaging suggest evidence of partial restoration of the retina, including regions with re-appearance of an RPE layer and features associated with recovery of photoreceptors.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reported, in the Phase 1/2a study, OpRegen has demonstrated the potential to slow, stop or reverse disease progression in GA secondary to AMD and these results, which were present at 12 months, have persisted through 24 and 36 months following a single administration of OpRegen. The Phase 1/2a study was an open-label, single-arm, multicenter, dose-escalation trial evaluating a single administration of OpRegen, the investigational product was delivered subretinally in patients with bilateral GA. Patient enrollment completed in November 2020, with 24 patients recruited into four cohorts. The first three cohorts enrolled only legally blind patients with a BCVA of 20/200 or worse. Cohort 4 enrolled 12 patients with impaired vision (BCVA from 20/65 to 20/250 with smaller mean areas of GA). Cohort 4 also included patients treated with a new “thaw-and-inject” formulation of OpRegen, which could be shipped directly to sites and used immediately upon thawing. The primary objective of the study was to evaluate the safety and tolerability of OpRegen as assessed by the incidence and frequency of treatment-emergent adverse events. Secondary objectives evaluated the preliminary activity of OpRegen treatment by assessing the changes in ophthalmological parameters measured by various methods of primary clinical relevance. Long-term follow-up of patients in this study is currently ongoing.</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OPC1 Program for Spinal Cord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2026, the second chronic SCI participant with neurologically complete SCI injury was treated in the DOSED (Delivery of Oligodendrocyte Progenitor Cells for Spinal Cord Injury: Evaluation of a Novel Device) study at UC San Diego Health, and the novel delivery system successfully administered a one-time injection of OPC1. Our DOSED clinical study will evaluate the safety and utility of a novel spinal cord delivery device designed to administer OPC1 to the spinal parenchyma in both subacute (between 21 to 42 days following injury) and chronic (between 1 to 5 years following injury) spinal cord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2026, the first chronic SCI participant treated in the DOSED study was evaluated at their one-year post treatment follow-up appointment, in which neurological stability was observed across motor, sensory and Upper Extremity Motor Score (UEMS) at all measured time points, from baseline through their 1-year assessment.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ReSonance Program for Hearing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most advanced preclinical product candidate is ReSonance (ANP1), an allogeneic auditory neuron progenitor cell transplant, currently in preclinical development for the treatment of sensorineural hearing loss. In August 2025, we announced that we entered into the RCA with WDI to advance the preclinical development of ReSonance for the treatment of hearing loss. WDI agreed to fund up to $12 million in research collaboration costs over the approximate three-year term of the agreement, for activities conducted in accordance with a schedule of planned activities and budget agreed to by the parties (the “RCA Budget”). Under the RCA Budget, development activities are being jointly conducted and managed by Lineage and scientists from Eriksholm Research Centre, part of Oticon A/S, which is a subsidiary of the Demant Group and an affiliate of WDI, with approximately 65% of the original budget designated to reimburse Lineage for its allocation of work on the Project. Through June 30, 2026, Lineage has received approximately $2.6 million. The main objective of the agreement is for the parties to complete a preclinical phase achieving readiness to potentially progress to human clinical trials under one or more separate clinical agreements, the terms of which would be negotiated in good faith before the expiration of the agreement. To date, we have successfully completed 3 engineering manufacturing runs, completed the internal technology transfer from our R&amp;D team to our cGMP team, and completed one cGMP manufacturing run which is currently the subject of standard release testing. The parties have also established a novel model of deafening to support ReSonance functional preclinical testing under the collaboration. See Note 13 (Commitments and Contingencies—Collaborations—WDI Collaboration) to our condensed consolidated interim financial statements included in this report for additional information.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COR1 Program for Corneal Endothelial Disease</w:t>
      </w:r>
    </w:p>
    <w:p>
      <w:pPr>
        <w:pStyle w:val="TextBody"/>
        <w:bidi w:val="0"/>
        <w:spacing w:before="120" w:after="283"/>
        <w:jc w:val="both"/>
        <w:rPr>
          <w:rFonts w:ascii="Times New Roman" w:hAnsi="Times New Roman"/>
          <w:sz w:val="20"/>
        </w:rPr>
      </w:pPr>
      <w:r>
        <w:rPr>
          <w:rFonts w:ascii="Times New Roman" w:hAnsi="Times New Roman"/>
          <w:color w:val="000000"/>
          <w:sz w:val="20"/>
        </w:rPr>
        <w:t>In March 2026, we announced the launch of our newest cell therapy program, COR1, a corneal endothelial cell (CEnC) therapy in preclinical development for the treatment of corneal endothelial disease</w:t>
      </w:r>
      <w:r>
        <w:rPr>
          <w:rFonts w:ascii="Times New Roman" w:hAnsi="Times New Roman"/>
          <w:b/>
          <w:color w:val="000000"/>
          <w:sz w:val="20"/>
        </w:rPr>
        <w:t xml:space="preserve">. </w:t>
      </w:r>
      <w:r>
        <w:rPr>
          <w:rFonts w:ascii="Times New Roman" w:hAnsi="Times New Roman"/>
          <w:color w:val="000000"/>
          <w:sz w:val="20"/>
        </w:rPr>
        <w:t xml:space="preserve">COR1 is a wholly-owned preclinical asset which benefits from our existing ophthalmology and manufacturing expertise and which represents a natural next application of our technology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July 2026, we reported positive development progress with COR1. Utilizing our AlloSCOPE platform, we successfully achieved seamless precursor bioreactor-based 5D expansion and differentiation to support CEnC production which, together with a thaw-and-inject formulation, can offer a potentially superior product profile and meets our internal criteria for continued preclinical advancement. We recently applied our AlloSCOPE 5D manufacturing process to the COR1 program, which is intended to further reduce production costs. Lineage has also elected to advance the COR1 program into in-vivo animal testing with initial preclinical data expected to be generated in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Millions of people are potential candidates for corneal transplants for which today there is only one donor for every 70 diseased eyes globally. The current supply of CEnCs from cadaveric sources is further limited by the low availability of organ donors, as well as by inconsistent yield and quality. CEnC therapy from cadaveric sources has already been approved in Japan to treat corneal endothelial disease, providing evidence for the underlying mechanism of action. The cornea is a relatively accessible site for transplantation, with a simple injection-based delivery method and a long clinical track record from donor-based procedures. In addition, the eye offers a degree of immune privilege, potentially reducing the risk of immune rejection.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COR1 program targets an area where the current fundamental limitation is the supply and shelf life of material, as existing approved CEnC transplant therapy relies heavily on cadaveric tissue donors with variable yield, quality, and durability. This imbalance highlights the need for a reliable, consistent, and scalable source of cells. Importantly, the unmet need is significant and CEnC transplant therapy is already clinically validated, with preclinical models, endpoints, and clinical and regulatory precedents, which are well-established.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Utilizing our AlloSCOPE platform, we are manufacturing CEnCs with identity, morphological, and functional characteristics that meet our initial internal criteria and support further development. Applicable indications for COR1 are expected to include Fuchs Endothelial Corneal Dystrophy (FECD) and Bullous Keratopathy. Fuchs’ corneal dystrophy is a progressive, often hereditary condition where cells on the inner layer of the cornea die, causing cornea swelling and vision loss. In the advanced setting, DMEK (Descemet’s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membrane endothelial keratoplasty) is a surgical option consisting of replacing the diseased cells with a donor graft, often leading to improved vision. As of 2022, FECD affects about 7.3% of adults over the age of 30 globally, with a projected affected patient population expected to rise to approximately 415 million by 2050.</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Islet Cell Transplant Manufacturing Initiative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2025, we announced the launch of ILT1, a new manufacturing initiative employing AlloSCOPE 5D platform technology. AlloSCOPE 5D describes an application of AlloSCOPE with the goal of higher scale production of pre-differentiated cells with reduced manipulation and passaging. ILT1 is initially focused on addressing the challenges of large-scale production and aims to produce highly synchronized pluripotent cells, which if successful at a large scale could thereafter be applied to an islet cell differentiation process to ultimately support the production of allogeneic islet cells for a potential treatment for Type 1 Diabetes (T1D). This initiative is focused initially on expanding our existing AlloSCOPE platform to become capable of significantly greater production of undifferentiated pluripotent cells than our current capability, with the overall goal of establishing a production modality that can be applied to islet cell differentiation to ultimately support an islet cell production process from expansion through differentiation in a dynamic culturing system. We believe that if this approach is successful it could potentially solve a major hurdle to production and commercialization of an islet cell therapy product candidate.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first half of 2026, we successfully continued to meet our internal milestones for our ILT1 manufacturing initiative, demonstrating a highly scalable and fully suspension-based process for generating undifferentiated pluripotent cells using one of our proprietary and in house cell lines. This initial work was successful at 0.5 liter scale and in the second quarter of 2026 we demonstrated development into a larger multi-liter format, which supports further and continued development. If successful at larger scale, we may seek to demonstrate AlloSCOPE 5D scalability with one or more internal or partner-sourced hypo-immune or non hypo-immune cell lines, suitable to support potential islet cell differentiation and preclinical testing. We additionally may seek to apply insights and process improvements we have learned or may learn through this process to other cell transplant programs, including programs we may launch in the future.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pluripotent cells underlying our platform are by definition, capable of becoming any cell type of the human body. In some cases, pursuing the development of cell therapies for which a biological precedent exists may enable faster development of future product candidates underlying our platform and pipeline. We therefore maintain a list of additional potential product candidates which we may consider for development or partnership in the future, and which altogether cover a range of therapeutic areas and conditions. Generally, we expect that these potential product candidates will be based on the same AlloSCOPE platform technology and would employ a similar guided cell differentiation and transplant approach as our current product candidates, and in some cases may also include genetic modifications designed to enhance efficacy and/or safety profiles.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Israeli Regional Conflict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manufacturing processes and development, including cell banking and product manufacturing for our cell therapy product candidates, are conducted by our subsidiary, CCN, at its facility in Jerusalem, Israel, and more than two-thirds of our workforce are CCN employees based in that facility. In addition, certain of the clinical trial sites for the OpRegen GAlette study are in 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2026 Iran War and the ongoing conflict and hostilities in the Middle East has increased the risk of interruptions to our operations in Jerusalem and to the clinical trial sites for the OpRegen GAlette study in Israel, including due to increased risk of delays in the delivery of supplies and/or equipment, power interruptions, absence of workforce due to military service, cyberattacks, disruptions to transportation and logistics infrastructure, interruption of utility and communications services, and other events beyond our control. As of the date of the filing of this report, our operations in Jerusalem have not been materially or adversely disrupted, and we are not aware of any material disruption to the clinical trial sites for the OpRegen GAlette study in Israel. However, the situation continues to remain volatile, and it is currently not possible to predict the scope, duration or severity of present or future regional instability or its effects on our operations in Jerusalem or on such clinical trial sites. See the risk factor in Item 1A. Risk Factors in Part I of the 2025 10-K titled, “All of our manufacturing operations currently are conducted at our facility in Jerusalem, Israel. Accordingly, political 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safety concerns and in response to government-imposed restrictions on movement and travel and other precautions taken to address the Israeli regional conflict, our operations at our CCN facility in Jerusalem were temporarily impacted in the past. In light of the ongoing conflict and hostilities in the Middle East, similar government-imposed restrictions on movement and travel and other precautions may be implemented, which could materially and adversely affect our operations in Jerusalem. In addition, a number of our CCN employees in Israel are members of the military reserves and subject to immediate call-up in response to regional instability.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Male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Several employees in Israel, including CCN’s chief executive officer, were activated for military duty in the past, and they and other employees may be activated for military duty in the future, which could adversely impact our operations. The general impact on employees operating in a region of conflict could also adversely impact our operations. Although we have business continuity plans in place to address medium- or long-term disruptions that could result from regional instability, those plans are limited and do not account for every possible scenario, and in addition, any long-term closure of our CCN facility, or if that facility were damaged, or if hostilities otherwise disrupt operations at that facility, or if a meaningful number of employees are unable to work for significant portions of time, our operations would be materially and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insurance may not cover losses that may occur as a result of events associated with war and terrorism. Although the Israeli government currently covers the reinstatement value of direct damages that are caused by terrorist attacks or acts of war, we cannot assure that this government coverage will be maintained or that it will sufficiently cover our potential damages. Any losses or damages incurred by us could have a material adverse effect on our business.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Macroeconomic, Political, and Regulatory Environment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financial condition, operating results, stock price, and our ability to raise additional capital may be adversely affected by evolving macroeconomic, political, and regulatory developments and conditions, such as inflation, trade disruptions and restrictive measures, including tariffs, high interest rates, slowed economic growth or recession, federal spending reductions and sequestration risks, volatility in financial markets, liquidity concerns at financial institutions, supply chain disruptions, changes in the regulatory landscape in the U.S., including due to significant reductions in funding and staffing of federal agencies and changes in leadership, and geopolitical factors. Further, third parties with whom we have business relationships, including clinical sites, financial institutions, and our collaborators, may be adversely affected by the foregoing risks, which could directly impact our ability to achieve our operating goals within planned timelines and budgets.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there may be significant future effects on the pharmaceutical and biopharmaceutical industries as a result of federal policy and regulatory changes, including in areas relating to regulatory framework and oversight, research and development funding, drug pricing reform, global trade policy and tariffs, and others. Executive branch cost-cutting initiatives have resulted in significant reductions in staffing levels at the FDA and other governmental agencies. These reductions have impacted, and may continue to impact, agencies’ ability to retain key personnel and hire additional personnel, which may disrupt their ability to perform routine activities or function in the normal course. For example, with respect to the FDA, this may result in delays or limitations on our ability to obtain guidance from agency staff and slow review times for applications we submit with respect to clinical studies, any of which could negatively impact the cost and timelines for developing and obtaining regulatory approval of our product candidates. Moreover, the current U.S. presidential administration has taken and may take additional future actions to freeze or reduce federal funding for medical research, which could decrease the ability of facilities that rely on such funding to conduct clinical trials or increase the costs to us of conducting clinical trials at those facilities. Given the rapidly evolving nature of federal policy, enforcement, and regulatory changes, we cannot reasonably predict the potential impact on our business at this time.</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accounting policy is deemed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See the discussion under the Critical Accounting Estimates heading in Part II, Item 7. Management’s Discussion and Analysis of Financial Condition and Result of Operations in the 2025 10-K and our audited financial statements and notes thereto for the year ended December 31, 2025 in Part II, Item 8 of the 2025 10-K for accounting policies and related estimates we believe are the most critical to understanding our condensed consolidated interim financial statements, financial condition and results of operations and which require complex management judgment and assumptions or involve uncertainties. The estimates and judgments involved in our accounting policies as described in our audited financial statements and notes thereto for the year ended December 31, 2025, continue to be our critical accounting policies and there have been no material changes to our critical accounting policies during the three months ended June 30, 2026.</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Three and Six Months Ended June 30,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revenues for the periods presented (amounts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86"/>
        <w:gridCol w:w="146"/>
        <w:gridCol w:w="196"/>
        <w:gridCol w:w="511"/>
        <w:gridCol w:w="146"/>
        <w:gridCol w:w="146"/>
        <w:gridCol w:w="196"/>
        <w:gridCol w:w="511"/>
        <w:gridCol w:w="146"/>
        <w:gridCol w:w="146"/>
        <w:gridCol w:w="225"/>
        <w:gridCol w:w="656"/>
        <w:gridCol w:w="166"/>
        <w:gridCol w:w="146"/>
        <w:gridCol w:w="849"/>
        <w:gridCol w:w="146"/>
        <w:gridCol w:w="196"/>
        <w:gridCol w:w="511"/>
        <w:gridCol w:w="146"/>
        <w:gridCol w:w="146"/>
        <w:gridCol w:w="196"/>
        <w:gridCol w:w="511"/>
        <w:gridCol w:w="146"/>
        <w:gridCol w:w="146"/>
        <w:gridCol w:w="225"/>
        <w:gridCol w:w="656"/>
        <w:gridCol w:w="166"/>
        <w:gridCol w:w="146"/>
        <w:gridCol w:w="89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Royalties, license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(41)%</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For the three months ended June 30, 2026, the $1.7 million decrease in total revenues as compared to the prior year was primarily attributable to a $1.6 million decrease in collaboration revenues and a decrease of approximately $0.1 million in royalty revenue. Within the decrease in collaboration revenues, $1.1 million was attributable to the Roche Agreement, reflective of measured progress toward completion of the first performance obligation. The remaining decrease was largely comprised of approximately $0.7 million related to deferred revenue recognized upon the termination of the license agreement with Immunomic Therapeutics, Inc., in the second quarter of 2025, partially offset by a $0.3 million increase in collaboration revenues related to our research collaboration agreement with WDI.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2026, the $1.5 million decrease in total revenues as compared to the prior year was primarily attributable to a $1.3 million decrease in collaboration revenues and a decrease of approximately $0.2 million in royalty revenue. Within the decrease in collaboration revenues, $1.4 million was attributable to the Roche Agreement, reflective of measured progress toward completion of the first performance obligation. The remaining decrease was largely comprised of approximately $0.7 million related to deferred revenue recognized in the prior year upon the termination of the license agreement with Immunomic Therapeutics, Inc., partially offset by a $0.9 million increase in collaboration revenues related to our research collaboration agreement with WDI.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 revenues may fluctuate from period to period based on changes in estimated costs to support the performance obligations. Under the collaboration agreements with Roche and WDI, delivery of goods and services is determined to be over time and revenue is recognized utilizing an input method of costs incurred over total estimated costs to complete the performance obligation. See Note 3 (Revenue) to our condensed consolidated interim financial statements included in this report for additional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generally consist of cost of royalties, research and development expenses, and general and administrative expenses.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Cost of royalties</w:t>
      </w:r>
      <w:r>
        <w:rPr>
          <w:rFonts w:ascii="Times New Roman" w:hAnsi="Times New Roman"/>
          <w:color w:val="000000"/>
          <w:sz w:val="20"/>
        </w:rPr>
        <w:t>. These expenses consist of costs associated with royalty revenue which has resulted from product sales by our sublicensees.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These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costs with no future benefit or alternative use are expensed as incurred. Research and development expenses incurred and reimbursed by grants from third parties approximate the grant income recognized in our condensed consolidated statements of operations. Royalties and sublicensing fees are recorded as research and development expenses, unless they are associated with product royalties, which we classify as cost of royalties in our condensed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These expenses consist of employee and director compensation and related benefits, including stock-based compensation,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our operating expenses for the periods presented (amounts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99"/>
        <w:gridCol w:w="146"/>
        <w:gridCol w:w="196"/>
        <w:gridCol w:w="511"/>
        <w:gridCol w:w="146"/>
        <w:gridCol w:w="146"/>
        <w:gridCol w:w="196"/>
        <w:gridCol w:w="601"/>
        <w:gridCol w:w="146"/>
        <w:gridCol w:w="146"/>
        <w:gridCol w:w="196"/>
        <w:gridCol w:w="661"/>
        <w:gridCol w:w="166"/>
        <w:gridCol w:w="146"/>
        <w:gridCol w:w="691"/>
        <w:gridCol w:w="146"/>
        <w:gridCol w:w="196"/>
        <w:gridCol w:w="601"/>
        <w:gridCol w:w="146"/>
        <w:gridCol w:w="146"/>
        <w:gridCol w:w="196"/>
        <w:gridCol w:w="601"/>
        <w:gridCol w:w="146"/>
        <w:gridCol w:w="146"/>
        <w:gridCol w:w="209"/>
        <w:gridCol w:w="707"/>
        <w:gridCol w:w="166"/>
        <w:gridCol w:w="146"/>
        <w:gridCol w:w="860"/>
      </w:tblGrid>
      <w:tr>
        <w:trPr/>
        <w:tc>
          <w:tcPr>
            <w:tcW w:w="1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w:t>
              <w:b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b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r>
      <w:tr>
        <w:trPr/>
        <w:tc>
          <w:tcPr>
            <w:tcW w:w="1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(100)%</w:t>
            </w:r>
          </w:p>
        </w:tc>
      </w:tr>
      <w:tr>
        <w:trPr/>
        <w:tc>
          <w:tcPr>
            <w:tcW w:w="16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(37)%</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amount of our total research and development expenses allocated to our product candidates and potential product candidates for the periods presented (amounts in thousands, except percentages):</w:t>
      </w:r>
    </w:p>
    <w:p>
      <w:pPr>
        <w:pStyle w:val="TextBody"/>
        <w:bidi w:val="0"/>
        <w:jc w:val="both"/>
        <w:rPr/>
      </w:pPr>
      <w:r>
        <w:rPr/>
        <w:t> </w:t>
      </w:r>
    </w:p>
    <w:tbl>
      <w:tblPr>
        <w:tblW w:w="9940" w:type="dxa"/>
        <w:jc w:val="left"/>
        <w:tblInd w:w="0" w:type="dxa"/>
        <w:tblLayout w:type="fixed"/>
        <w:tblCellMar>
          <w:top w:w="28" w:type="dxa"/>
          <w:left w:w="28" w:type="dxa"/>
          <w:bottom w:w="28" w:type="dxa"/>
          <w:right w:w="28" w:type="dxa"/>
        </w:tblCellMar>
      </w:tblPr>
      <w:tblGrid>
        <w:gridCol w:w="3211"/>
        <w:gridCol w:w="146"/>
        <w:gridCol w:w="196"/>
        <w:gridCol w:w="511"/>
        <w:gridCol w:w="146"/>
        <w:gridCol w:w="146"/>
        <w:gridCol w:w="196"/>
        <w:gridCol w:w="511"/>
        <w:gridCol w:w="146"/>
        <w:gridCol w:w="146"/>
        <w:gridCol w:w="526"/>
        <w:gridCol w:w="146"/>
        <w:gridCol w:w="526"/>
        <w:gridCol w:w="146"/>
        <w:gridCol w:w="196"/>
        <w:gridCol w:w="511"/>
        <w:gridCol w:w="146"/>
        <w:gridCol w:w="146"/>
        <w:gridCol w:w="196"/>
        <w:gridCol w:w="511"/>
        <w:gridCol w:w="146"/>
        <w:gridCol w:w="146"/>
        <w:gridCol w:w="526"/>
        <w:gridCol w:w="146"/>
        <w:gridCol w:w="57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4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 Total</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OpRegen</w:t>
            </w: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29%</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ReSonance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ILT1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RND1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programs and non-program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xml:space="preserve"> For the three months ended June 30, 2026, the $1.7 million increase in research and development expenses as compared to the prior year was primarily driven by $1.6 million for our preclinical programs and other undisclosed programs, $0.5 million for our ReSonance program, and $0.2 million for our OPC1 program, partially offset by a $0.6 million decrease for our OpRegen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six months ended June 30, 2026, the $2.8 million increase in research and development expenses as compared to the prior year was primarily driven by $2.2 million for our preclinical programs and other undisclosed programs, $0.7 million for our ReSonance program, $0.5 million for our OPC1 program, partially offset by a $0.6 million decrease for our OpRegen program.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xml:space="preserve"> For the three months ended June 30, 2026, the $0.7 million increase in general and administrative expenses as compared to the prior year was primarily attributable to $0.3 million for personnel costs and $0.3 million for stock-based compensation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2026, the $0.9 million increase in general and administrative expenses as compared to the prior year was primarily attributable to approximately $0.7 million for personnel costs and $0.2 million for stock-based compensation expense.</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Loss on impairment of intangible asset.</w:t>
      </w:r>
      <w:r>
        <w:rPr>
          <w:rFonts w:ascii="Times New Roman" w:hAnsi="Times New Roman"/>
          <w:color w:val="000000"/>
          <w:sz w:val="20"/>
        </w:rPr>
        <w:t xml:space="preserve"> In the second quarter of 2025, we abandoned the VAC platform and its related research and development efforts, and concluded the IPR&amp;D asset had no alternative future use. Consequently, we derecognized the intangible asset and recorded a non-cash pre-tax impairment charge of $14.8 million within total operating expenses of the consolidated statement of operations. See Note 6 (Goodwill and Intangible Assets, net) and Note 13 (Commitments and Contingencies) to our consolidated financial statements included in this report for additional information. No comparable expense was recorded for the six months ended June 30, 2026.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and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amount of other income (expenses), net, for the periods presented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44"/>
        <w:gridCol w:w="146"/>
        <w:gridCol w:w="196"/>
        <w:gridCol w:w="601"/>
        <w:gridCol w:w="166"/>
        <w:gridCol w:w="146"/>
        <w:gridCol w:w="196"/>
        <w:gridCol w:w="661"/>
        <w:gridCol w:w="166"/>
        <w:gridCol w:w="146"/>
        <w:gridCol w:w="205"/>
        <w:gridCol w:w="631"/>
        <w:gridCol w:w="166"/>
        <w:gridCol w:w="146"/>
        <w:gridCol w:w="743"/>
        <w:gridCol w:w="146"/>
        <w:gridCol w:w="196"/>
        <w:gridCol w:w="601"/>
        <w:gridCol w:w="166"/>
        <w:gridCol w:w="146"/>
        <w:gridCol w:w="196"/>
        <w:gridCol w:w="661"/>
        <w:gridCol w:w="166"/>
        <w:gridCol w:w="146"/>
        <w:gridCol w:w="205"/>
        <w:gridCol w:w="631"/>
        <w:gridCol w:w="166"/>
        <w:gridCol w:w="146"/>
        <w:gridCol w:w="874"/>
      </w:tblGrid>
      <w:tr>
        <w:trPr/>
        <w:tc>
          <w:tcPr>
            <w:tcW w:w="1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4"/>
              </w:rPr>
            </w:pPr>
            <w:r>
              <w:rPr>
                <w:rFonts w:ascii="Times New Roman" w:hAnsi="Times New Roman"/>
                <w:b/>
                <w:color w:val="000000"/>
                <w:sz w:val="14"/>
              </w:rPr>
              <w:t>(Decrease)</w:t>
            </w:r>
          </w:p>
        </w:tc>
      </w:tr>
      <w:tr>
        <w:trPr/>
        <w:tc>
          <w:tcPr>
            <w:tcW w:w="1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(16)%</w:t>
            </w:r>
          </w:p>
        </w:tc>
      </w:tr>
      <w:tr>
        <w:trPr/>
        <w:tc>
          <w:tcPr>
            <w:tcW w:w="1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Gain (loss)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443%</w:t>
            </w:r>
          </w:p>
        </w:tc>
      </w:tr>
      <w:tr>
        <w:trPr/>
        <w:tc>
          <w:tcPr>
            <w:tcW w:w="1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213%</w:t>
            </w:r>
          </w:p>
        </w:tc>
      </w:tr>
      <w:tr>
        <w:trPr/>
        <w:tc>
          <w:tcPr>
            <w:tcW w:w="1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currency transaction gain,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(51)%</w:t>
            </w:r>
          </w:p>
        </w:tc>
      </w:tr>
      <w:tr>
        <w:trPr/>
        <w:tc>
          <w:tcPr>
            <w:tcW w:w="1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89%</w:t>
            </w:r>
          </w:p>
        </w:tc>
      </w:tr>
      <w:tr>
        <w:trPr/>
        <w:tc>
          <w:tcPr>
            <w:tcW w:w="1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261%</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Interest income, net</w:t>
      </w:r>
      <w:r>
        <w:rPr>
          <w:rFonts w:ascii="Times New Roman" w:hAnsi="Times New Roman"/>
          <w:color w:val="000000"/>
          <w:sz w:val="20"/>
        </w:rPr>
        <w:t xml:space="preserve">. For both the three and six months ended June 30, 2026, the decrease in interest income, net, was attributable to lower interest rates, despite higher average cash and marketable debt securities balances.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Gain (loss) on marketable equity securities, net</w:t>
      </w:r>
      <w:r>
        <w:rPr>
          <w:rFonts w:ascii="Times New Roman" w:hAnsi="Times New Roman"/>
          <w:color w:val="000000"/>
          <w:sz w:val="20"/>
        </w:rPr>
        <w:t xml:space="preserve">. We expect our net gain or loss on marketable equity securities to fluctuate each reporting period based on the changes in the market price of marketable equity securities held by us, which could impact our net income or loss reported in our condensed consolidated statements of operations for a particular reporting period. These marketable equity securities are carried at fair market value on our condensed consolidated balance sheet. See Note 4 (Marketable Securities) to our condensed consolidated interim financial statements included in this report for additional information regarding our marketable equity securities. For the three and six months ended June 30, 2026 and 2025, the change in the values of our marketable equity securities was de minimis and primarily related to changes in the fair market value of such securities during the respective periods.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Change in fair value of warrant liability</w:t>
      </w:r>
      <w:r>
        <w:rPr>
          <w:rFonts w:ascii="Times New Roman" w:hAnsi="Times New Roman"/>
          <w:color w:val="000000"/>
          <w:sz w:val="20"/>
        </w:rPr>
        <w:t>. The liability-classified warrants issued in connection with the November 2024 registered direct offering (“November 2024 RDO”) are valued at each reporting period end date while the warrants are outstanding, and at the time of each warrant exercise, using a Black-Scholes option pricing model that maximizes the use of observable inputs and minimizes the use of unobservable inputs to the extent possible. A significant increase or decrease in these inputs could result in significantly higher or lower fair value measurements. The changes in fair value of the liability-classified warrants are non-cash adjustments recorded in the condensed consolidated statements of operations and we expect this fair value to fluctuate each reporting period. For the three and six months ended June 30, 2026 and 2025, the change in the fair value of the warrants was primarily driven by fluctuations in the Company’s common share price during these periods.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Foreign currency transaction gain (loss), net</w:t>
      </w:r>
      <w:r>
        <w:rPr>
          <w:rFonts w:ascii="Times New Roman" w:hAnsi="Times New Roman"/>
          <w:color w:val="000000"/>
          <w:sz w:val="20"/>
        </w:rPr>
        <w:t>. Foreign currency transaction gain (loss), net primarily results from currency fluctuations applied to our subsidiary’s U.S. dollar-denominated intercompany balances with Lineage. The functional currency of our subsidiaries, CCN and ES Cell International Pte. Ltd. (“ESI”), is the Israeli New Shekel (“ILS”) and the Singapore Dollar (“SGD”), respectively. Foreign currency transaction gains and losses for the periods presented are principally related to the remeasurement of the U.S. dollar denominated notes payable and notes receivable between Lineage and its subsidiaries.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Other income (expenses), net</w:t>
      </w:r>
      <w:r>
        <w:rPr>
          <w:rFonts w:ascii="Times New Roman" w:hAnsi="Times New Roman"/>
          <w:color w:val="000000"/>
          <w:sz w:val="20"/>
        </w:rPr>
        <w:t>. For the three months ended June 30, 2026 and 2025, the change in other income (expenses) as compared to the prior year was de minimis. For the six months ended June 30, 2026 and 2025, the change in other expense as compared to the prior year was related to the allocated transaction costs for warrants issued in connection with the second closing of the November 2024 RDO in January 2025; there was no comparable expense incurred in the six months ending June 30,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ASC 740, Income Taxes, a valuation allowance is provided when it is more likely than not that some portion of the deferred tax assets will not be realized. As of December 31, 2025, Lineage released the valuation allowance associated with its Israeli subsidiary’s deferred tax assets based on sustained profitability and other positive evidence. Lineage continues to maintain a full valuation allowance against its U.S. and Singapore deferred tax assets due to the uncertainty of realizing future tax benefits from net operating loss carryforwards and other deferred tax assets in those jurisdictions. Lineage did not record a deferred tax benefit or provision expense for either of the three or six months ended June 30, 2026 or 2025.</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$50.8 million in cash, cash equivalents and marketable securities, and our accumulated deficit was $470.3 million. For the six months ended June 30, 2026, we incurred a loss from operations of $16.5 million and had negative cash flow from operations of $15.3 million. Since inception, we have incurred significant operating losses and we expect to continue to incur significant operating losses for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historically funded our operations primarily through proceeds from the sale of our common shares and securities exercisable for or convertible into our common shares, the sale of common stock of our former subsidiaries, research grants, revenues from collaborations, and royalties from product sales that are unrelated to our current cell therapy product candidates. </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jc w:val="both"/>
        <w:rPr/>
      </w:pPr>
      <w:r>
        <w:rPr/>
        <w:t> </w:t>
      </w:r>
    </w:p>
    <w:tbl>
      <w:tblPr>
        <w:tblW w:w="8754" w:type="dxa"/>
        <w:jc w:val="left"/>
        <w:tblInd w:w="0" w:type="dxa"/>
        <w:tblLayout w:type="fixed"/>
        <w:tblCellMar>
          <w:top w:w="28" w:type="dxa"/>
          <w:left w:w="28" w:type="dxa"/>
          <w:bottom w:w="28" w:type="dxa"/>
          <w:right w:w="28" w:type="dxa"/>
        </w:tblCellMar>
      </w:tblPr>
      <w:tblGrid>
        <w:gridCol w:w="5911"/>
        <w:gridCol w:w="146"/>
        <w:gridCol w:w="211"/>
        <w:gridCol w:w="736"/>
        <w:gridCol w:w="166"/>
        <w:gridCol w:w="146"/>
        <w:gridCol w:w="211"/>
        <w:gridCol w:w="736"/>
        <w:gridCol w:w="491"/>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Effect of exchange rate changes on cash, cash equivalents </w:t>
              <w:br/>
              <w:t>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2026 was $15.3 million and consisted of a net loss of $3.2 million plus the net changes in operating assets and liabilities of approximately $2.5 million and $9.6 million in non-cash adjustments. The net changes in operating assets and liabilities were primarily due to a $2.1 million reduction in accounts payable and accrued liabilities and a $1.7 million reduction in deferred revenues, partially offset by a $1.3 million increase in accounts receivable and prepaid expenses and other current assets. The non-cash adjustments were primarily due to a $11.8 million change in the fair value of the warrant liability, partially offset by $2.8 million for stock 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$10.4 million and consisted of a net loss of $34.5 million plus the net changes in operating assets and liabilities of approximately $2.6 million, partially offset by $26.7 million in non-cash adjustments. The net changes in operating assets and liabilities were primarily due to a $3.8 million reduction in deferred revenues, partially offset by a $1.3 million increase in prepaid expenses and other current assets. The non-cash adjustments were primarily due to a $10.4 million change in the fair value of the warrant liability as well as a $14.8 million loss on impairment of our IPR&amp;D intangible asset related to the VAC platform.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six months ended June 30, 2026 was $1.6 million and primarily consisted of proceeds from maturities of U.S. Treasury securities, net of cash used to purchase U.S. Treasury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investing activities for the six months ended June 30, 2025 was $1.9 million and primarily consisted of proceeds from maturities of U.S. Treasury securities.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2026 was $10.0 million and primarily consisted of net proceeds from the sale of common shares under our at-the-market offering program as well as proceeds from the exercise of options and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2025 was $4.7 million and primarily consisted of net proceeds from the sale of our common shares and warrants in the November 2024 RDO, partially offset by principal payments against our financed insurance liability.</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obligations primarily consist of obligations to our licensors under license agreements, obligations related to grants received from government entities, including the Israel Innovation Authority (“IIA”), obligations under vendor contracts for research services and other purchase commitments with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received grants under the Innovation Law and are required to pay royalties to the IIA from the revenues generated from the sale of product candidates and related services developed, in whole or in part pursuant to, or as a result of, a research and development program funded by the IIA. Under the Innovation Law, we are also required to pay redemption fees to the IIA. To date, through a series of separate grants beginning in 2007, CCN has received a total of $15.4 million from the IIA to support the OpRegen program. We are obligated to pay approximately 24.1% of any future payments we may receive under the Roche Agreement to the IIA, up to an aggregate cap on all payments to IIA, such cap growing over time via interest accrual until paid in full. As of June 30, 2026, the aggregate cap amount was approximately $97.2 million. Redemption fees due to the IIA under the Innovation Law are due upon receipt of any milestone payments and royalties received under the Roche Agreement. In December 2025, Lineage funded CCN to pay the IIA 24.1% of the $5.0 million received from Roche upon the achievement of the first milestone under the Agreement. As of June 30, 2026, we have not included any future financial obligations due to the IIA under the Innovation Law in the accompanying unaudited condensed consolidated balance sheet because the achievement and timing of the events that would require future payments to the IIA under the Innovation Law is not fixed and determinable. See Note 13 (Commitments and Contingencies) to our condensed consolidated interim financial statements included in this report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to other government entities under the terms of grants we have received require us to make future payments relating to sublicense fees, developmental, regulatory and/or commercial milestone payments, redemption fees, royalties and patent maintenance costs.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future achievement of certain developmental, regulatory and/or commercial milestones. Royalties are payable to licensors or government entities based on a percentage of net sales of licensed products or of products covered by the in-licensed intellectual property, including those related to the Roche Agreement. In January 2026, Lineage funded CCN to pay Hadasit 21.5% of the $5.0 million received from Roche upon the achievement of the first milestone under the Roche Agreement. Patent maintenance costs are payable to licensors as reimbursement for the cost of maintaining licensed patents. Due to the contingent nature of the payments, the amounts and timing of payments to licensors under our in-license agreements and to government entities under the terms of grants we have received are uncertain and may fluctuate significantly from period to period. As of June 30, 2026, we have not included these future commitments on our condensed consolidated balance sheet because the achievement and timing of these events are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under the terms of the leases for the facilities from which CCN and Lineage operate, a total of $2.0 million of rent payments will become due, of which $0.2 million will become due in the remainder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Funding Requirements and Potential 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incur losses for at least the next several years. We expect that our operating expenses will continue to increase for the foreseeable future as we continue the development of, and seek regulatory approval for, our product candidates. As a result, we will need significant additional capital to fund our operations. Our determination as to when we will seek additional capital and the amount of additional capital that we will need will be based on our evaluation of the progress we make in our research and development programs, changes to the scope and focus of those programs, changes in grant funding for certain of those programs, and projection of future costs, revenues, and rates of expenditure. If we are unable to raise additional capital when and as needed, we may be required to delay, postpone, or cancel our clinical trials or limit the number of clinical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2026, we received $5.4 million in proceeds from the exercise of warrants issued in our November 2024 RDO. We may receive up to an additional $30.2 million in gross proceeds upon the full cash exercise of the warrants we issued to the investors in the November 2024 RDO. However, no assurances can be given as to the extent to which additional warrants will be exercised. As of June 30, 2026, $55.4 million remained available for sale under our at-the-market offering program. See Note 10 (Shareholders’ Equity) to our condensed consolidated interim financial statements included in this report for additional information regarding our at-the-market offering program.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to obtain the additional capital we may need through one or more equity offerings, debt financings, government or other grant funding, or other third-party funding transactions, including potential strategic alliances and licensing or collaboration agreements, or structured financings such as royalty monetization transactions. We cannot provide any assurance that adequate additional capital will be available on favorable terms, if at all. The issuance of additional securities, whether equity or debt, or the possibility of such issuance, may cause the market price of our common shares to decline, and the issuance of additional equity securities could result in the dilution of the interests of our current shareholders. If we obtain additional capital through strategic alliances and licensing or collaboration agreements or structured financing, we may be required to relinquish rights to our intellectual property, our product candidates or rights to future revenue streams or otherwise agree to terms unfavorable to us. The unavailability or inadequacy of additional capital to meet future capital needs could force us to modify, curtail, delay, or suspend some or all aspects of our current planned operations. Our ability to raise additional capital may be adversely impacted due to external factors beyond our control, such as unfavorable global economic conditions, disruptions to and volatility in the credit and financial markets in the United States and worldwide, political and economic uncertainty, geopolitical conflicts, rising inflation and interest rates, and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$50.8 million in cash, cash equivalents and marketable securities at June 30, 2026, will be sufficient to fund our planned operations through at least twelve months from the issuance date of our condensed consolidated interim financial statements included elsewhere in this report. We believe we will meet our longer-term expected future cash requirements and obligations with our current cash and cash equivalents, marketable securities, milestone and other payments we expect to receive under our collaboration agreements, and proceeds we receive from sales of our common shares under our at-the-market offering program.</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3" w:name="item_3"/>
      <w:bookmarkEnd w:id="13"/>
      <w:r>
        <w:rPr>
          <w:rFonts w:ascii="Times New Roman" w:hAnsi="Times New Roman"/>
          <w:b/>
          <w:color w:val="000000"/>
          <w:sz w:val="20"/>
        </w:rPr>
        <w:t>Item 3. Quantitative and 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SEC rules and regulations, as a smaller reporting company, we are not required to provide the information required by this item.</w:t>
      </w:r>
    </w:p>
    <w:p>
      <w:pPr>
        <w:pStyle w:val="TextBody"/>
        <w:bidi w:val="0"/>
        <w:spacing w:before="360" w:after="283"/>
        <w:jc w:val="both"/>
        <w:rPr>
          <w:rFonts w:ascii="Times New Roman" w:hAnsi="Times New Roman"/>
          <w:b/>
          <w:color w:val="000000"/>
          <w:sz w:val="20"/>
        </w:rPr>
      </w:pPr>
      <w:bookmarkStart w:id="14" w:name="item_4"/>
      <w:bookmarkEnd w:id="14"/>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40" w:after="283"/>
        <w:jc w:val="both"/>
        <w:rPr>
          <w:rFonts w:ascii="Times New Roman" w:hAnsi="Times New Roman"/>
          <w:sz w:val="20"/>
        </w:rPr>
      </w:pPr>
      <w:r>
        <w:rPr>
          <w:rFonts w:ascii="Times New Roman" w:hAnsi="Times New Roman"/>
          <w:color w:val="000000"/>
          <w:sz w:val="20"/>
        </w:rPr>
        <w:t>It is management’s responsibility to establish and maintain adequate internal control over all financial reporting pursuant to Rule 13a-15 under the Exchange Act. Our management, including our principal executive officer and our principal financial officer, reviewed and evaluated the effectiveness of our disclosure controls and procedures as of the end of the period covered by this report. Following this review and evaluation</w:t>
      </w:r>
      <w:r>
        <w:rPr>
          <w:rFonts w:ascii="Times New Roman" w:hAnsi="Times New Roman"/>
          <w:i/>
          <w:color w:val="000000"/>
          <w:sz w:val="20"/>
        </w:rPr>
        <w:t>,</w:t>
      </w:r>
      <w:r>
        <w:rPr>
          <w:rFonts w:ascii="Times New Roman" w:hAnsi="Times New Roman"/>
          <w:color w:val="000000"/>
          <w:sz w:val="20"/>
        </w:rPr>
        <w:t xml:space="preserve"> management collectively determined that our disclosure controls and procedures were effective as of the end of the period covered by this report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our principal executive officer and our principal financial officer, as appropriate to allow timely decisions regarding required disclosure.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period covered by this report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5" w:name="part_ii"/>
      <w:bookmarkEnd w:id="15"/>
      <w:r>
        <w:rPr>
          <w:rFonts w:ascii="Times New Roman" w:hAnsi="Times New Roman"/>
          <w:b/>
          <w:color w:val="000000"/>
          <w:sz w:val="20"/>
        </w:rPr>
        <w:t>PART II - OTHER INFORMATION</w:t>
      </w:r>
    </w:p>
    <w:p>
      <w:pPr>
        <w:pStyle w:val="TextBody"/>
        <w:bidi w:val="0"/>
        <w:spacing w:before="240" w:after="283"/>
        <w:jc w:val="both"/>
        <w:rPr>
          <w:rFonts w:ascii="Times New Roman" w:hAnsi="Times New Roman"/>
          <w:b/>
          <w:color w:val="000000"/>
          <w:sz w:val="20"/>
        </w:rPr>
      </w:pPr>
      <w:bookmarkStart w:id="16" w:name="part_ii_item_1"/>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currently a party to any material legal proceedings. From time-to-time we may be involved in a variety of legal proceedings. Such proceedings may initially be viewed as immaterial but could later prove to be material. Legal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legal proceedings could involve significant expense and diversion of management’s attention and resources from other matters. For a discussion of legal proceedings in which we are involved, see Note 13 (Commitments and Contingencies) in the Notes to the Condensed Consolidated Interim Financial Statements in Part I, Item 1 of this report.</w:t>
      </w:r>
    </w:p>
    <w:p>
      <w:pPr>
        <w:pStyle w:val="TextBody"/>
        <w:bidi w:val="0"/>
        <w:spacing w:before="360" w:after="283"/>
        <w:jc w:val="both"/>
        <w:rPr>
          <w:rFonts w:ascii="Times New Roman" w:hAnsi="Times New Roman"/>
          <w:b/>
          <w:color w:val="000000"/>
          <w:sz w:val="20"/>
        </w:rPr>
      </w:pPr>
      <w:bookmarkStart w:id="17" w:name="part_ii_item_1a"/>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in our common shares involves a high degree of risk. You should carefully consider the risks and uncertainties described in the 2025 10-K, in addition to other information in this report, when evaluating our business and before deciding whether to purchase, hold or sell our common shares. Each of these risks and uncertainties, as well as additional risks and uncertainties not presently known to us or that we currently consider immaterial, could harm our business, financial condition, results of operations and/or growth prospects, as well as adversely affect the market price of our common shares, in which case you may lose all or part of your investment. There have been no material changes from the risk factors disclosed in Part I, Item 1A. Risk Factors in the 2025 10-K.</w:t>
      </w:r>
    </w:p>
    <w:p>
      <w:pPr>
        <w:pStyle w:val="TextBody"/>
        <w:bidi w:val="0"/>
        <w:spacing w:before="360" w:after="283"/>
        <w:jc w:val="both"/>
        <w:rPr>
          <w:rFonts w:ascii="Times New Roman" w:hAnsi="Times New Roman"/>
          <w:b/>
          <w:color w:val="000000"/>
          <w:sz w:val="20"/>
        </w:rPr>
      </w:pPr>
      <w:bookmarkStart w:id="18" w:name="part_ii_item_2"/>
      <w:bookmarkEnd w:id="18"/>
      <w:r>
        <w:rPr>
          <w:rFonts w:ascii="Times New Roman" w:hAnsi="Times New Roman"/>
          <w:b/>
          <w:color w:val="000000"/>
          <w:sz w:val="20"/>
        </w:rPr>
        <w:t>Item 2. Unregistered Sales of Equity Securities, Use of Proceeds, and Issuer Purchases of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as previously reported in our periodic or current reports filed with the SEC, there were no unregistered sales of equity securities by us during the quarter covered by this report.</w:t>
      </w:r>
    </w:p>
    <w:p>
      <w:pPr>
        <w:pStyle w:val="TextBody"/>
        <w:bidi w:val="0"/>
        <w:spacing w:before="360" w:after="283"/>
        <w:jc w:val="both"/>
        <w:rPr>
          <w:rFonts w:ascii="Times New Roman" w:hAnsi="Times New Roman"/>
          <w:b/>
          <w:color w:val="000000"/>
          <w:sz w:val="20"/>
        </w:rPr>
      </w:pPr>
      <w:bookmarkStart w:id="19" w:name="part_ii_item_3"/>
      <w:bookmarkEnd w:id="19"/>
      <w:r>
        <w:rPr>
          <w:rFonts w:ascii="Times New Roman" w:hAnsi="Times New Roman"/>
          <w:b/>
          <w:color w:val="000000"/>
          <w:sz w:val="20"/>
        </w:rPr>
        <w:t>Item 3. Default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part_ii_item_4"/>
      <w:bookmarkEnd w:id="20"/>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1" w:name="part_ii_item_5"/>
      <w:bookmarkEnd w:id="21"/>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pPr>
      <w:r>
        <w:rPr>
          <w:rFonts w:ascii="Times New Roman" w:hAnsi="Times New Roman"/>
          <w:color w:val="000000"/>
          <w:sz w:val="20"/>
        </w:rPr>
        <w:t>During the quarter covered by this report, none of our directors or officers (as defined in Rule 16a-1(f)</w:t>
        <w:br/>
        <w:t>under the Exchange Act) adopted</w:t>
      </w:r>
      <w:r>
        <w:rPr>
          <w:color w:val="000000"/>
        </w:rPr>
        <w:t xml:space="preserve"> </w:t>
      </w:r>
      <w:r>
        <w:rPr>
          <w:rFonts w:ascii="Times New Roman" w:hAnsi="Times New Roman"/>
          <w:color w:val="000000"/>
          <w:sz w:val="20"/>
        </w:rPr>
        <w:t>or terminated</w:t>
      </w:r>
      <w:r>
        <w:rPr>
          <w:color w:val="000000"/>
        </w:rPr>
        <w:t xml:space="preserve"> </w:t>
      </w:r>
      <w:r>
        <w:rPr>
          <w:rFonts w:ascii="Times New Roman" w:hAnsi="Times New Roman"/>
          <w:color w:val="000000"/>
          <w:sz w:val="20"/>
        </w:rPr>
        <w:t>any Rule 10b5-1 trading arrangement (as defined in Item 408(a)(1)(i) of</w:t>
        <w:br/>
        <w:t>Regulation S-K) or any non-Rule 10b5-1 trading arrangement (as defined in Item 408(c) of Regulation S-K).</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2" w:name="part_ii_item_6"/>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7"/>
        <w:gridCol w:w="146"/>
        <w:gridCol w:w="5503"/>
        <w:gridCol w:w="146"/>
        <w:gridCol w:w="691"/>
        <w:gridCol w:w="146"/>
        <w:gridCol w:w="540"/>
        <w:gridCol w:w="146"/>
        <w:gridCol w:w="1156"/>
        <w:gridCol w:w="146"/>
        <w:gridCol w:w="798"/>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7"/>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87" w:type="dxa"/>
            <w:tcBorders>
              <w:bottom w:val="single" w:sz="12"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3"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Restated Articles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3.1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9,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Certificate of Ownership</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12, 2019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Second 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June 13,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1_1.htm">
              <w:r>
                <w:rPr>
                  <w:rStyle w:val="InternetLink"/>
                  <w:rFonts w:ascii="Times New Roman" w:hAnsi="Times New Roman"/>
                  <w:color w:val="0000FF"/>
                  <w:sz w:val="20"/>
                  <w:u w:val="single"/>
                </w:rPr>
                <w:t>Certification of Chief Executive Officer pursuant to Form of Rule 13a-14(a), as Adopted Pursuant to Section 302(a)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1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1_2.htm">
              <w:r>
                <w:rPr>
                  <w:rStyle w:val="InternetLink"/>
                  <w:rFonts w:ascii="Times New Roman" w:hAnsi="Times New Roman"/>
                  <w:color w:val="0000FF"/>
                  <w:sz w:val="20"/>
                  <w:u w:val="single"/>
                </w:rPr>
                <w:t>Certification of Chief Financial Officer pursuant to Form of Rule 13a-14(a), as Adopted Pursuant to Section 302(a)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4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1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2_1.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XBRL Instance Document - the instance document does not appear in the Interactive Data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Inline XBRL Taxonomy Extension Schema With Embedded Linkbase documents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97" w:type="dxa"/>
        <w:jc w:val="left"/>
        <w:tblInd w:w="0" w:type="dxa"/>
        <w:tblLayout w:type="fixed"/>
        <w:tblCellMar>
          <w:top w:w="28" w:type="dxa"/>
          <w:left w:w="28" w:type="dxa"/>
          <w:bottom w:w="28" w:type="dxa"/>
          <w:right w:w="28" w:type="dxa"/>
        </w:tblCellMar>
      </w:tblPr>
      <w:tblGrid>
        <w:gridCol w:w="1846"/>
        <w:gridCol w:w="3451"/>
      </w:tblGrid>
      <w:tr>
        <w:trPr/>
        <w:tc>
          <w:tcPr>
            <w:tcW w:w="184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 CELL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 Jill Ann Howe</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lctx-ex31_1.htm"/>
      <w:bookmarkStart w:id="25" w:name="kslctxex31_1"/>
      <w:bookmarkEnd w:id="24"/>
      <w:bookmarkEnd w:id="25"/>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Brian M. Culley,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August 6, 2026</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6" w:name="lctx-ex31_2.htm"/>
      <w:bookmarkStart w:id="27" w:name="kslctxex31_2"/>
      <w:bookmarkEnd w:id="26"/>
      <w:bookmarkEnd w:id="27"/>
      <w:r>
        <w:rPr>
          <w:rFonts w:ascii="Times New Roman" w:hAnsi="Times New Roman"/>
          <w:b/>
          <w:color w:val="000000"/>
          <w:sz w:val="24"/>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Jill Ann Howe,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bookmarkStart w:id="28" w:name="gfpex32_1_htm"/>
      <w:bookmarkEnd w:id="28"/>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lctx-ex32_1.htm"/>
      <w:bookmarkStart w:id="30" w:name="kslctxex32_1"/>
      <w:bookmarkEnd w:id="29"/>
      <w:bookmarkEnd w:id="3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on Form 10-Q of Lineage Cell Therapeutics, Inc. (the “Company”) for the quarter ended June 30, 2026 as filed with the Securities and Exchange Commission on the date hereof (the “Report”), we, Brian M. Culley, Chief Executive Officer of the Company, and Jill Ann Howe, Chief Financial Officer of the Company, certify pursuant to 18 U.S.C. Section 1350, as adopted pursuant to Section 906 of the Sarbanes-Oxley Act of 2002,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August 6, 2026</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90" w:type="dxa"/>
        <w:jc w:val="left"/>
        <w:tblInd w:w="0" w:type="dxa"/>
        <w:tblLayout w:type="fixed"/>
        <w:tblCellMar>
          <w:top w:w="28" w:type="dxa"/>
          <w:left w:w="28" w:type="dxa"/>
          <w:bottom w:w="28" w:type="dxa"/>
          <w:right w:w="28" w:type="dxa"/>
        </w:tblCellMar>
      </w:tblPr>
      <w:tblGrid>
        <w:gridCol w:w="3736"/>
        <w:gridCol w:w="154"/>
      </w:tblGrid>
      <w:tr>
        <w:trPr/>
        <w:tc>
          <w:tcPr>
            <w:tcW w:w="3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Jill Ann Howe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Lineage Cell Therapeutics, Inc. and will be retained by Lineage Cell Therapeutics, Inc. and furnished to the Securities and Exchange Commission or its staff upon request.</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6343/000149315223040058/ex3-1.htm" TargetMode="External"/><Relationship Id="rId3" Type="http://schemas.openxmlformats.org/officeDocument/2006/relationships/hyperlink" Target="https://www.sec.gov/Archives/edgar/data/876343/000149315219012036/ex3-1.htm" TargetMode="External"/><Relationship Id="rId4" Type="http://schemas.openxmlformats.org/officeDocument/2006/relationships/hyperlink" Target="https://www.sec.gov/Archives/edgar/data/876343/000095017024073072/lctx-ex3_1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24129</Words>
  <Characters>134678</Characters>
  <CharactersWithSpaces>160087</CharactersWithSpaces>
  <Paragraphs>6331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