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6"/>
        </w:rPr>
      </w:pPr>
      <w:bookmarkStart w:id="0" w:name="lctx-20241231.htm"/>
      <w:bookmarkStart w:id="1" w:name="kslctx20241231"/>
      <w:bookmarkEnd w:id="0"/>
      <w:bookmarkEnd w:id="1"/>
      <w:r>
        <w:rPr>
          <w:rFonts w:ascii="Times New Roman" w:hAnsi="Times New Roman"/>
          <w:color w:val="000000"/>
          <w:sz w:val="6"/>
        </w:rPr>
        <w:t>T</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center"/>
        <w:rPr/>
      </w:pPr>
      <w:r>
        <w:rPr/>
        <w:t> </w:t>
      </w:r>
    </w:p>
    <w:tbl>
      <w:tblPr>
        <w:tblW w:w="8342" w:type="dxa"/>
        <w:jc w:val="left"/>
        <w:tblInd w:w="0" w:type="dxa"/>
        <w:tblLayout w:type="fixed"/>
        <w:tblCellMar>
          <w:top w:w="28" w:type="dxa"/>
          <w:left w:w="28" w:type="dxa"/>
          <w:bottom w:w="28" w:type="dxa"/>
          <w:right w:w="28" w:type="dxa"/>
        </w:tblCellMar>
      </w:tblPr>
      <w:tblGrid>
        <w:gridCol w:w="331"/>
        <w:gridCol w:w="8011"/>
      </w:tblGrid>
      <w:tr>
        <w:trPr/>
        <w:tc>
          <w:tcPr>
            <w:tcW w:w="33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ANNUAL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 the fiscal year ended December 31, 2024</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OR</w:t>
      </w:r>
    </w:p>
    <w:p>
      <w:pPr>
        <w:pStyle w:val="TextBody"/>
        <w:bidi w:val="0"/>
        <w:jc w:val="center"/>
        <w:rPr/>
      </w:pPr>
      <w:r>
        <w:rPr/>
        <w:t> </w:t>
      </w:r>
    </w:p>
    <w:tbl>
      <w:tblPr>
        <w:tblW w:w="8642" w:type="dxa"/>
        <w:jc w:val="left"/>
        <w:tblInd w:w="0" w:type="dxa"/>
        <w:tblLayout w:type="fixed"/>
        <w:tblCellMar>
          <w:top w:w="28" w:type="dxa"/>
          <w:left w:w="28" w:type="dxa"/>
          <w:bottom w:w="28" w:type="dxa"/>
          <w:right w:w="28" w:type="dxa"/>
        </w:tblCellMar>
      </w:tblPr>
      <w:tblGrid>
        <w:gridCol w:w="331"/>
        <w:gridCol w:w="8311"/>
      </w:tblGrid>
      <w:tr>
        <w:trPr/>
        <w:tc>
          <w:tcPr>
            <w:tcW w:w="33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TRANSITION REPORT PURSUANT TO SECTION 13 OR 15(d) OF THE SECURITIES EXCHANGE ACT OF 1934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transition period from___________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Commission file number 001-12830</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Lineage Cell Therapeutics,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94-3127919</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2173 Salk Avenue, Suite 200</w:t>
      </w:r>
    </w:p>
    <w:p>
      <w:pPr>
        <w:pStyle w:val="TextBody"/>
        <w:bidi w:val="0"/>
        <w:jc w:val="center"/>
        <w:rPr>
          <w:rFonts w:ascii="Times New Roman" w:hAnsi="Times New Roman"/>
          <w:sz w:val="20"/>
        </w:rPr>
      </w:pPr>
      <w:r>
        <w:rPr>
          <w:rFonts w:ascii="Times New Roman" w:hAnsi="Times New Roman"/>
          <w:b/>
          <w:color w:val="000000"/>
          <w:sz w:val="16"/>
        </w:rPr>
        <w:t>Carlsbad, California</w:t>
      </w:r>
      <w:r>
        <w:rPr>
          <w:rFonts w:ascii="Times New Roman" w:hAnsi="Times New Roman"/>
          <w:color w:val="000000"/>
          <w:sz w:val="20"/>
        </w:rPr>
        <w:t xml:space="preserve"> </w:t>
      </w:r>
      <w:r>
        <w:rPr>
          <w:rFonts w:ascii="Times New Roman" w:hAnsi="Times New Roman"/>
          <w:b/>
          <w:color w:val="000000"/>
          <w:sz w:val="16"/>
        </w:rPr>
        <w:t>92008</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(442) 287-8990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6221" w:type="dxa"/>
        <w:jc w:val="left"/>
        <w:tblInd w:w="0" w:type="dxa"/>
        <w:tblLayout w:type="fixed"/>
        <w:tblCellMar>
          <w:top w:w="28" w:type="dxa"/>
          <w:left w:w="28" w:type="dxa"/>
          <w:bottom w:w="28" w:type="dxa"/>
          <w:right w:w="28" w:type="dxa"/>
        </w:tblCellMar>
      </w:tblPr>
      <w:tblGrid>
        <w:gridCol w:w="1351"/>
        <w:gridCol w:w="109"/>
        <w:gridCol w:w="1426"/>
        <w:gridCol w:w="109"/>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NYSE</w:t>
            </w:r>
            <w:r>
              <w:rPr>
                <w:rFonts w:ascii="Times New Roman" w:hAnsi="Times New Roman"/>
                <w:color w:val="000000"/>
                <w:sz w:val="20"/>
              </w:rPr>
              <w:t> </w:t>
            </w:r>
            <w:r>
              <w:rPr>
                <w:rFonts w:ascii="Times New Roman" w:hAnsi="Times New Roman"/>
                <w:b/>
                <w:color w:val="000000"/>
                <w:sz w:val="16"/>
              </w:rPr>
              <w:t>American LLC</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1861"/>
        <w:gridCol w:w="2281"/>
      </w:tblGrid>
      <w:tr>
        <w:trPr/>
        <w:tc>
          <w:tcPr>
            <w:tcW w:w="186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Non-accelerated filer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registrant’s voting and non-voting common equity held by non-affiliates of the registrant, based on the closing price of the registrant's common shares on the NYSE American on June 28, 2024, the last business day of the registrant’s most recently completed second fiscal quarter, was $146.3</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number of common shares outstanding as of March 4, 2025 was 228,356,290.</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Portions of the registrant’s definitive proxy statement relating to its 2025 annual meeting of shareholders are incorporated by reference into Part III of this Annual Report on Form 10-K where indicated.</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764"/>
        <w:gridCol w:w="8483"/>
        <w:gridCol w:w="797"/>
      </w:tblGrid>
      <w:tr>
        <w:trPr/>
        <w:tc>
          <w:tcPr>
            <w:tcW w:w="1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48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Page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r>
              <w:rPr>
                <w:rFonts w:ascii="Times New Roman" w:hAnsi="Times New Roman"/>
                <w:color w:val="000000"/>
                <w:sz w:val="20"/>
              </w:rPr>
              <w:t xml:space="preserve"> </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1B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3c_cybersecurity">
              <w:r>
                <w:rPr>
                  <w:rStyle w:val="InternetLink"/>
                  <w:rFonts w:ascii="Times New Roman" w:hAnsi="Times New Roman"/>
                  <w:color w:val="0000FF"/>
                  <w:sz w:val="20"/>
                  <w:u w:val="single"/>
                </w:rPr>
                <w:t>Cybersecurity</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8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Market For Registrant’s Common Equity, Related Stockholder Matters, and Issuer Purchases of Equity Securities</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8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Reserved</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7A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8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15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20"/>
                  <w:u w:val="single"/>
                </w:rPr>
                <w:t>Exhibits and Financial Statements Schedules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16 </w:t>
            </w:r>
          </w:p>
        </w:tc>
        <w:tc>
          <w:tcPr>
            <w:tcW w:w="8483"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tcMar>
              <w:top w:w="0" w:type="dxa"/>
              <w:left w:w="0" w:type="dxa"/>
              <w:bottom w:w="0" w:type="dxa"/>
              <w:right w:w="0" w:type="dxa"/>
            </w:tcMar>
            <w:vAlign w:val="center"/>
          </w:tcPr>
          <w:p>
            <w:pPr>
              <w:pStyle w:val="TableContents"/>
              <w:bidi w:val="0"/>
              <w:spacing w:before="0" w:after="283"/>
              <w:jc w:val="left"/>
              <w:rPr/>
            </w:pPr>
            <w:r>
              <w:rPr/>
              <w:t> </w:t>
            </w:r>
          </w:p>
        </w:tc>
        <w:tc>
          <w:tcPr>
            <w:tcW w:w="8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on our operations of the Israeli regional conflict and broader regional conflict, other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Part I, Item 1A. “Risk Factors” of this report for a discussion of important factors that may cause our actual activities, performance, results and condition to differ materially from those expressed or implied by our forward-looking statements. As a result of a variety of factors, including those discussed in Part I, Item 1A. of this report,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stated or the context requires otherwise, references in this report to “Lineage,” the “Company,” “our company,” “we,” “us,” and “our” refer collectively to Lineage Cell Therapeutics, Inc.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0" w:after="283"/>
        <w:jc w:val="both"/>
        <w:rPr>
          <w:rFonts w:ascii="Times New Roman" w:hAnsi="Times New Roman"/>
          <w:sz w:val="20"/>
        </w:rPr>
      </w:pPr>
      <w:r>
        <w:rPr>
          <w:rFonts w:ascii="Times New Roman" w:hAnsi="Times New Roman"/>
          <w:i/>
          <w:color w:val="000000"/>
          <w:sz w:val="20"/>
        </w:rPr>
        <w:t>Below is a summary of the material factors that make an investment in our common shares speculative or risky. This summary does not address all of the risks that we face. Additional discussion of the risks summarized in this risk factor summary, and other risks that we face, can be found below under the heading “Risk Factors” in Item 1A of Part I of this report and should be carefully considered, together with other information in this report and our other filings with the Securities and Exchange Commission (the “SEC”) before making investment decisions regarding our common shares.</w:t>
      </w:r>
      <w:r>
        <w:rPr>
          <w:rFonts w:ascii="Times New Roman" w:hAnsi="Times New Roman"/>
          <w:color w:val="000000"/>
          <w:sz w:val="20"/>
        </w:rPr>
        <w:t xml:space="preserve"> </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are dependent on our third-party collaboration with F. Hoffmann-La Roche Ltd and Genentech, Inc to develop and commercialize RG6501 (OpRegen®). If our collaborators are not successful in developing and commercializing OpRegen and/or they terminate the collaboration, we will lose a significant source of potential revenue, development and potential regulatory approval of OpRegen may be significantly delayed, and we may not be successful in establishing an alternative strategic collaboration or pursuing independent development and commercialization of OpRegen.</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Any failure or delay in the successful transfer of manufacturing process know-how by us to Roche or the inability of Roche to manufacture comparable cells could halt or delay the continued development of OpRegen.</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have incurred operating losses since inception, and we do not know if or when we will attain profitability.</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Our investigational allogeneic cell therapies represent a novel approach to the treatment of serious medical conditions, which gives rise to significant challenges. Clinical development of our product candidates is a lengthy and expensive process with a high level of uncertainty as to timing and ultimate outcome. We may not be successful in identifying new product candidates and neither we nor our collaborators may succeed in developing or obtaining regulatory approval to market and sell any of our product candidates.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will continue to spend a substantial amount of our capital on research and development, but we might not succeed in developing products and technologies that are safe and effective for their target indications or commercially viable.</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will need to raise substantial additional capital to complete the development and seek regulatory approval of our product candidates and to commercialize products approved for marketing, if any, and capital raising transactions may cause dilution to our existing shareholders, restrict our operations, or require us to relinquish rights to or dilute our economic interest in our product candidates or technology. If we are unable to obtain adequate capital, we may delay, reduce, limit the pace of, suspend or discontinue our product and technology development programs, which could significantly harm our business and prospects and cause the market price of our common shares to decline.</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may expend our limited resources to identify or pursue particular product candidates and fail to identify other new product candidates or to capitalize on other product candidates that may be more profitable or for which there is a greater likelihood of success.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If we fail to meet our obligations under our in-license agreements, we may lose our rights to key technologies on which our business depends.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All of our manufacturing operations currently are conducted at our facility in Jerusalem, Israel, and any event or condition, such as political and economic conditions in Israel, war, terrorist attacks or other armed conflicts, that significantly disrupts our ordinary course of operations at our Jerusalem facility could harm our business and materially and adversely affect our financial condition and operating results. Further, our operations in Israel expose us to additional business, regulatory, political, operational, financial and economic risks associated with doing business outside of the United States.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Our subsidiary Cell Cure Neurosciences Ltd. has received Israeli government grants for certain of its research and development activities. The terms of these grants may require us to seek approvals and to satisfy specified conditions to manufacture products and transfer or license grant-supported technologies outside of Israel. In the context of such approvals, we will be required to pay penalties in addition to the repayment of the grants.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have relied on grant funding from CIRM (defined below) to support clinical development of OPC1 and we may not be able to obtain additional CIRM funding on a timely basis, or at all, which could adversely impact our ability to conduct and complete the DOSED clinical study of OPC1 (described below). In addition, our profits from the sale of products resulting from CIRM-funded development, if any, will be reduced by amounts that we are required to pay CIRM.</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Our business could be adversely affected if we lose the services of the key personnel upon whom we depend or if we fail to attract and retain senior management and key scientific personnel.</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Taxing authorities could reallocate our taxable income among our subsidiaries, which could increase our overall tax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Government-imposed bans or restrictions and religious, moral, and ethical concerns about the use of human embryonic stem cells could prevent us from developing and successfully marketing stem cell products.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Some of our product candidates may be considered combination products by the U.S. Food and Drug Administration (“FDA”) and other regulatory authorities, which could increase the complexity, cost and timeline for their development and regulatory approval.</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 xml:space="preserve">Considerable uncertainty exists regarding how federal government policy and budget decisions will unfold under the new U.S. presidential administration and legislation and legislative, executive and regulatory proposals and actions may adversely affect our business. </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Disruptions at the FDA and other government agencies, including due to a lack of funding, changes in leadership or significant personnel turnover, could delay or disrupt clinical and preclinical development and potential marketing approval of our product candidates and hinder our ability to raise additional capital.</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 FDA granted orphan drug designation to OPC1 for the treatment of acute spinal cord injuries, but there is no guarantee we will be able to maintain, or obtain the benefits associated with, such designation.</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 xml:space="preserve">The results of preclinical studies and early clinical trials are not necessarily predictive of future results. </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Interim, topline and preliminary data from clinical trials of our product candidates that we or our collaborators publicly disclose from time to time may change as more patient data become available and are subject to audit and verification procedures that could result in final clinical data that is materially different and unfavorable.</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the ability to obtain approval for or commercialize our product candidates.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Because developing cell therapy products is based on novel technologies that are unproven and may not result in approvable or marketable products, the lack of success, or perceived lack of success, of other companies developing or seeking to develop cell therapy products may adversely impact investor sentiment regarding our business and the market opportunities for our product candidates.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Changes in or disruptions to the manufacturing operations and processes for our product candidates could significantly delay and increase the costs of clinical development and commercialization, if approved.</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 commercial success of any product candidate will depend upon the degree of market acceptance by physicians, patients and third-party payors.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face potential product liability claims, and, if successful claims are brought against us, we may incur substantial liability and costs. If the use or misuse of our products or product candidates harm patients or is perceived to harm patients, our regulatory approvals could be revoked, suspended or otherwise negatively affected, and our reputation could suffer.</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We currently have no marketing and sales force or distribution capabilities.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Our intellectual property may be insufficient to protect our products and we may become subject to claims of infringement of the intellectual property of others.</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 xml:space="preserve">We rely on third parties, including strategic collaborators, clinical research organizations, medical institutions, clinical investigators, consultants, sole source suppliers of specialized materials and equipment, to advance the development of our product candidates and we may encounter significant challenges or delays as a result of our lack of control over those third parties, including increased costs and timelines for clinical trials of our product candidates. </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 market price of our common shares has been and may continue to be volatile.</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Insiders continue to have substantial influence over our company, which could limit your ability to influence the outcome of key transactions, including a change of control.</w:t>
      </w:r>
    </w:p>
    <w:p>
      <w:pPr>
        <w:pStyle w:val="TextBody"/>
        <w:bidi w:val="0"/>
        <w:spacing w:before="20" w:after="283"/>
        <w:jc w:val="both"/>
        <w:rPr>
          <w:color w:val="000000"/>
        </w:rPr>
      </w:pPr>
      <w:r>
        <w:rPr>
          <w:color w:val="000000"/>
        </w:rPr>
        <w: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There is no assurance that we will be able to maintain compliance with the NYSE American’s continued listing standards, and failure to do so could result in the suspension of trading or delisting of our common shares, which could substantially impair our shareholders’ ability to sell their shares and our ability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item_1_business"/>
      <w:bookmarkEnd w:id="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generated cells with desired characteristics. Functional cells developed from such lineages and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least 7 years. Results from these studies have been published in the Journal of Neurosurgery Spine. OPC1 clinical development has been supported in part by a $14.3 million grant from the California Institute for Regenerative Medicine (“CIRM”). We plan to apply for additional funding from CIRM to support continued clinical development of OPC1 for the treatment of SCI when CIRM begins accepting new applications, which they have indicated they will do in Spring 2025. See “Grants from Government Entities – Grants from the California Institute for Regenerative Medicine,” below. In December 2023, we filed an Investigational New Drug (“IND”) amendment for OPC1 as it relates to our proposed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In March 2024, we received written correspondence from the FDA, advising us that due to their significant workload and conflicting PDUFA priorities at the agency, its review of our IND amendment and the DOSED study protocol was still ongoing, which remained so throughout 2024. On January 31, 2025, the FDA informed us that we could proceed with the DOSED study and shortly thereafter we announced that we were initiating the study. The study will enroll both subacute (between 21 to 42 days following injury) and chronic (between 1 to 5 years following injury) SCI patients. The DOSED study will be the first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study of OPC1 to include patients with a chronic injury, a condition which comprises the majority of SCI patients. We expect DOSED will enable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UC San Diego Health, was named as the first participating site for the DOSED study. The DOSED study is expected to commence enrollment in the second quarter of 2025. See “Clinical Stage Cell Transplant Programs – OPC1,” below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complete pipeline of allogeneic, or “off-the-shelf”, neurology and ophthalmic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 (RG6501)</w:t>
      </w:r>
      <w:r>
        <w:rPr>
          <w:rFonts w:ascii="Times New Roman" w:hAnsi="Times New Roman"/>
          <w:color w:val="000000"/>
          <w:sz w:val="20"/>
        </w:rPr>
        <w:t xml:space="preserve">, an allogeneic RPE cell replacement therapy currently in a Phase 2a multicenter, open-label, single arm clinical trial, the GAlette Study, being conducted by Genentech, for the treatment of GA secondary to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a Phase 1b, multicenter, open -label safety trial, the DOSED study, which is designed to test the safety and utility of a novel spinal cord delivery device in subacute and chronic SCI patients. OPC1 continues to be evaluated in long-term follow-up from two completed Phase 1 and Phase 1/2a multicenter clinical trials in thoracic and subacute cervical SCI patients.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ReSonance</w:t>
      </w:r>
      <w:r>
        <w:rPr>
          <w:rFonts w:ascii="Times New Roman" w:hAnsi="Times New Roman"/>
          <w:color w:val="000000"/>
          <w:sz w:val="13"/>
        </w:rPr>
        <w:t>TM</w:t>
      </w:r>
      <w:r>
        <w:rPr>
          <w:color w:val="000000"/>
        </w:rPr>
        <w:t xml:space="preserve"> </w:t>
      </w:r>
      <w:r>
        <w:rPr>
          <w:rFonts w:ascii="Times New Roman" w:hAnsi="Times New Roman"/>
          <w:color w:val="000000"/>
          <w:sz w:val="20"/>
        </w:rPr>
        <w:t xml:space="preserve">(ANP1), an allogeneic auditory neuron progenitor cell transplant currently in preclinical development for the treatment of sensorineural hearing loss.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 We may elect not to develop or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Select Business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partners have achieved numerous clinical, strategic and operational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Ongoing execution of Lineage’s contributions to our collaboration with Roche and Genentech for the development of OpRegen (RG6501) across multiple functional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Entered into a separate Services Agreement with Genentech to further support development of OpRegen (RG6501), including: (i) activities to support the ongoing Phase 1/2a study and currently enrolling Phase 2a GAlette study; and (ii) additional technical training and materials related to our cell therapy technology platform to support commercial manufacturing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OpRegen (RG6501) Phase 1/2a clinical study 24-month visual acuity results featured at 2024 Retinal Cell &amp; Gene Therapy Innovation Summit.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Roche announced receipt of RMAT designation from the U.S. FDA for OpRegen, for the treatment of GA secondary to AMD.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Submitted an IND amendment for OPC1 for the treatment of chronic and subacute spinal cord injury, and initiated activities to enroll SCI patients in the DOSED clinical study; currently targeting enrollment to commence in the second quarter of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Closed two separate financings totaling $44 million in gross proceeds; potential to receive an additional $36 million in gross proceeds upon the full exercise in cash of OpRegen clinical milestone-linked warrants, which each have an exercise price of $0.91 per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and hosted the 2nd Annual Spinal Cord Injury Investor Symposium in partnership with the Christopher &amp; Dana Reeve Foundation with additional support from CIRM.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ReSonance (ANP1) preclinical results presented at 59</w:t>
      </w:r>
      <w:r>
        <w:rPr>
          <w:rFonts w:ascii="Times New Roman" w:hAnsi="Times New Roman"/>
          <w:color w:val="000000"/>
          <w:sz w:val="13"/>
        </w:rPr>
        <w:t>th</w:t>
      </w:r>
      <w:r>
        <w:rPr>
          <w:color w:val="000000"/>
        </w:rPr>
        <w:t xml:space="preserve"> </w:t>
      </w:r>
      <w:r>
        <w:rPr>
          <w:rFonts w:ascii="Times New Roman" w:hAnsi="Times New Roman"/>
          <w:color w:val="000000"/>
          <w:sz w:val="20"/>
        </w:rPr>
        <w:t>Annual Inner Ear Biology Workshop: ReSonance manufactured by a proprietary process, developed in-house, at clinical scale, with relevant in-vitro functional activity; Immediate-use, thaw-and-inject formulation durably engrafted in preclinical hearing loss models.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initial goal is to address serious neurological and ophthalmic disorders by developing and advancing allogeneic, or “off-the-shelf,” treatments comprised of functional cells transplanted to the body. Our biological therapies are derived from the differentiation of pluripotent stem cells from established and self-renewing cell lines. We direct these pluripotent cells to become specific cell types, or combinations of the desired cell types, and use those differentiated cells as the treatment to restore diseased or diminished functions, such as impaired vision, loss of movement, sensation, or hearing.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support the furtherance of our product candidates, we aim to generate or have generated in vitro and in vivo functional data to support human testing. In some cases, we may collaborate with strategic partners, external advisors, or consultants to support the development of our cell therapy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key area of focus is our continued execution under our collaboration with Roche and Genentech across multiple functional areas, including support for the ongoing Phase 2a multicenter clinical study of OpRegen in patients with GA secondary to AMD, as well as in the follow-up portion of our 24-patient Phase 1/2a multicenter clinical study of OpRegen, in patients with dry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recently announced the initiation of the DOSED clinical study at our first contracted clinical site, UC San Diego Health, which will evaluate the safety and utility of a novel spinal cord delivery device to deliver OPC1, to the spinal parenchyma, in both subacute and chronic spinal cord injuries.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preclinical and research product candidates, ANP1 for hearing loss and PNC1 for vision loss due to photoreceptor dysfunction or damage, will continue to be evaluated for their scientific and commercial merit to determine the suitability of each program to advance into initial human testing.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efforts to broaden the application of our cell therapy platform and support long-term growth also include a strategic collaboration with Factor Biosciences for the development of a novel hypoimmune iPSC line, which will be evaluated for differentiation into cell transplant product candidates for CNS diseases and certain neurology indications. Through this collaboration we are developing a cell transplant therapy named RND1 for the treatment of an undisclosed indication. We believe this collaboration allows us to leverage our expertise to develop innovative cell transplant therapies by capitalizing on the convergence of directed cell differentiation and manufacturing with modern ex vivo gene editing technologies. Our former gene editing partner, Eterna Therapeutics, assigned this agreement to Factor in September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identified, and we may seek to develop, additional product candidates based on our cell replacement approach. We may elect to conduct these activities on our own or through various collaborative arrangements. We may utilize various types of pluripotent cell lines as starting material for our product candidates. Presently, our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 and manufacturing activities, including our current good manufacturing practice (“cGMP”) production of clinical trial material, are conducted at Cell Cure Neurosciences, Ltd., (“CCN”), our majority owned subsidiary.</w:t>
      </w:r>
    </w:p>
    <w:p>
      <w:pPr>
        <w:pStyle w:val="TextBody"/>
        <w:bidi w:val="0"/>
        <w:spacing w:before="360" w:after="283"/>
        <w:jc w:val="both"/>
        <w:rPr>
          <w:rFonts w:ascii="Times New Roman" w:hAnsi="Times New Roman"/>
          <w:sz w:val="20"/>
        </w:rPr>
      </w:pPr>
      <w:r>
        <w:rPr>
          <w:rFonts w:ascii="Times New Roman" w:hAnsi="Times New Roman"/>
          <w:b/>
          <w:color w:val="000000"/>
          <w:sz w:val="20"/>
        </w:rPr>
        <w:t>Cell Therapy Technology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we are one of the leading companies in pluripotent, cell-based non-oncology product development, as evidenced by our proprietary directed differentiation processes for multiple cellular lineages, cell manufacturing capabilities and stage of clinical development across multiple programs. Pluripotent cells, which are widely published as capable of becoming any human cell type, have potential applications in many areas of medicine with large unmet patient needs, including certain age-related degenerative diseases, degenerative conditions, or traumatic injury. Our programs are built on a proprietary, cell technology platform that integrates process development, manufacturing capabilities, formulation, and administration. Our product candidates consist of functional cells that may be able to replace faulty or absent cells, attenuate disease progression, or facilitate tissue repair. We are currently in clinical development with two pluripotent cell-derived product candidates (RPE cells and oligodendrocyte progenitor cells), and preclinical and research development for two additional candidates (auditory neurons and photoreceptor cells). In addition, we are investing in additional edited and non-edited pluripotent cell lines and are considering the differentiation of those pluripotent cells into additional cell types that may have therapeutic benefits in other areas of unmet medical need.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Cellular therapies are often aimed at regenerating or replacing affected cells or tissues and therefore may have more durable, broader, or more suitable applicability than certain traditional pharmaceutical products which seek to influence a single molecular target or a group of biological pathways. Small molecules and biologic therapies that require systemic delivery into the body can have unexpected side effects that can limit their usefulness. When cell replacement is locally administered to a specific anatomical compartment, systemic side effects can be well-tolerated. Lineage’s cell therapy approach somewhat resembles transplant medicine, as it is focused on whether transplanted cells are retained or rejected by the body and whether the transplanted cells function as expected.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key advantage of our approach is that it can provide us the opportunity to rapidly develop new programs without the extensive and costly steps traditionally required to develop a small molecule agonist or antagonist. Small molecule product development typically requires selection and validation of a drug target, followed by screening millions of molecules (e.g., a “library”) to identify hits, followed by chemical modification to develop a hit into a potent lead. The process of developing a new cell therapy from pluripotent lines can be comparatively faster because the target cell type is already “validated”, insofar as it is normally well-established in the literature as being the cell type which is dysfunctional or deficient in the patient and for which its’ identity and disease-related functional properties can be imitated.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significant challenge broadly facing the cell therapy field is the ability to create a stable source cell line and cell product with the purity control, reproducibility, potency and other vital manufacturing attributes, and to do so at the scale and cost needed to adequately and profitably supply the addressable market population with broad penetration. We believe these features are vital to creating a successful allogeneic cell transplant product. We believe one of our key advantages is the progress we have made toward demonstrating these capabilities in a GMP environment with actual production lots, a necessary milestone which to our knowledge has not been reduced to practice by any of our competitors.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Figure 1. Lineage’s Internal cGMP Facility Capabilities</w:t>
      </w:r>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5486400" cy="2847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2847975"/>
                    </a:xfrm>
                    <a:prstGeom prst="rect">
                      <a:avLst/>
                    </a:prstGeom>
                  </pic:spPr>
                </pic:pic>
              </a:graphicData>
            </a:graphic>
          </wp:inline>
        </w:drawing>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 addition to our corporate headquarters located in Carlsbad, California, we have a modern and innovative manufacturing facility in the Jerusalem Bio Park on the campus of the Hadassah University Hospital in Israel. That facility includes process development laboratories and a state-of-the-art, cGMP cell manufacturing facility. It is designed and equipped to run simultaneous cGMP processes as needed, and to produce a range of cell therapy products for human use in clinical trials as well as improve scalability for larger trials or potential commercialization (</w:t>
      </w:r>
      <w:r>
        <w:rPr>
          <w:rFonts w:ascii="Times New Roman" w:hAnsi="Times New Roman"/>
          <w:b/>
          <w:color w:val="000000"/>
          <w:sz w:val="20"/>
        </w:rPr>
        <w:t>Figure 1</w:t>
      </w:r>
      <w:r>
        <w:rPr>
          <w:rFonts w:ascii="Times New Roman" w:hAnsi="Times New Roman"/>
          <w:color w:val="000000"/>
          <w:sz w:val="20"/>
        </w:rPr>
        <w:t>). Currently, all of our cGMP manufacturing processes, including cell banking and product manufacturing for our cell therapy product candidates, are conducted in this facility.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2. Neuroscience Focused Cell Therapy Pipeline</w:t>
      </w:r>
    </w:p>
    <w:p>
      <w:pPr>
        <w:pStyle w:val="TextBody"/>
        <w:bidi w:val="0"/>
        <w:jc w:val="both"/>
        <w:rPr/>
      </w:pPr>
      <w:r>
        <w:rPr/>
        <w:t> </w:t>
      </w:r>
    </w:p>
    <w:p>
      <w:pPr>
        <w:pStyle w:val="TextBody"/>
        <w:bidi w:val="0"/>
        <w:jc w:val="center"/>
        <w:rPr/>
      </w:pPr>
      <w:r>
        <w:rPr/>
        <w:drawing>
          <wp:inline distT="0" distB="0" distL="0" distR="0">
            <wp:extent cx="5943600" cy="3124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124200"/>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Clinical Stage Cell Transplant Programs</w:t>
      </w:r>
    </w:p>
    <w:p>
      <w:pPr>
        <w:pStyle w:val="TextBody"/>
        <w:bidi w:val="0"/>
        <w:spacing w:before="160" w:after="283"/>
        <w:jc w:val="both"/>
        <w:rPr>
          <w:rFonts w:ascii="Times New Roman" w:hAnsi="Times New Roman"/>
          <w:sz w:val="20"/>
        </w:rPr>
      </w:pPr>
      <w:r>
        <w:rPr>
          <w:rFonts w:ascii="Times New Roman" w:hAnsi="Times New Roman"/>
          <w:i/>
          <w:color w:val="000000"/>
          <w:sz w:val="20"/>
        </w:rPr>
        <w:t>OpRegen</w:t>
      </w:r>
      <w:r>
        <w:rPr>
          <w:rFonts w:ascii="Times New Roman" w:hAnsi="Times New Roman"/>
          <w:i/>
          <w:color w:val="000000"/>
          <w:sz w:val="13"/>
        </w:rPr>
        <w:t xml:space="preserve">® </w:t>
      </w:r>
      <w:r>
        <w:rPr>
          <w:rFonts w:ascii="Times New Roman" w:hAnsi="Times New Roman"/>
          <w:i/>
          <w:color w:val="000000"/>
          <w:sz w:val="20"/>
        </w:rPr>
        <w:t>(RG6501)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OpRegen is a RPE cell therapy in Phase 2a development for the treatment of GA secondary to AMD. Following subretinal delivery, OpRegen has the potential to counteract RPE cell loss in areas of GA lesions by supporting retinal structure and function. OpRegen is being developed under a worldwide collaboration between Lineage, Roche and Genentech. See Note 13 (Commitments and Contingencies) to our consolidated financial statements included in this report for discussion on the Roche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OpRegen has been granted Fast Track and RMAT designations from the FDA, which includes an expedited regulatory path with the ability for increased interfacing with the FDA during the clinical development process.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AMD is a gradual, progressive, deterioration of the macula, the small sensitive area in the center of the retina that provides clear, high-definition central vision. It is a leading cause of vision loss in people over the age of 65 in the developed world. According to a 2022 report in JAMA Ophthalmology, 18.34 million individuals in the U.S. 40 years and older (11.64%) were living with early-stage AMD and 1.49 million (0.94%) were living with late-stage AMD in 2019. As the area of atrophy begins to include the fovea (the center of the macula), patients may lose their central vision, making facial recognition, reading, and driving difficult or impossible, and may ultimately become legally blind. The exact cause of GA secondary to AMD is unknown, but is thought to result from multiple factors, such as genetics, age, smoking history, and environmental effects. There are two clinical presentations of AMD, the dry form, and the wet, or neovascular form (growth of abnormal new blood vessels). Dry AMD typically advances slowly toward GA as RPE cells and photoreceptors become dysfunctional and deteriorate over time. RPE cells support and nourish the retina by metabolizing waste by-products and producing a number of components essential for photoreceptor health and function. If the metabolic waste products accumulate, lesions known as drusen may result. Approximately 85-90% of AMD patients suffer from the dry form of AMD, for which there are only two FDA approved therapeutic options at this time, pegcetacoplan injection (SYFOVRE®) and avacincaptad pegol intravitreal solution (IZERVAY). Both of these approved products are complement inhibitors, administered either monthly or every other month, and neither has clinically demonstrated improved or restored vision to date, which means patients may still experience gradual vision decline while on treatment. Additionally, dry AMD may also lead to wet AMD, a condition for which FDA-approved treatments are administered to inhibit the growth of new blood vessels. Physicians often recommend a healthy diet, exercise and/or nutritional supplements for dry AMD, but nutritional supplements have shown limited efficacy in delaying the onset of more progressive disease in longer-term studies. The schematics in </w:t>
      </w:r>
      <w:r>
        <w:rPr>
          <w:rFonts w:ascii="Times New Roman" w:hAnsi="Times New Roman"/>
          <w:b/>
          <w:color w:val="000000"/>
          <w:sz w:val="20"/>
        </w:rPr>
        <w:t>Figures 3 and 4</w:t>
      </w:r>
      <w:r>
        <w:rPr>
          <w:rFonts w:ascii="Times New Roman" w:hAnsi="Times New Roman"/>
          <w:color w:val="000000"/>
          <w:sz w:val="20"/>
        </w:rPr>
        <w:t xml:space="preserve"> show a representation of the process of drusen formation and the goal of cell replacement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4421"/>
        <w:gridCol w:w="4631"/>
      </w:tblGrid>
      <w:tr>
        <w:trPr/>
        <w:tc>
          <w:tcPr>
            <w:tcW w:w="4421" w:type="dxa"/>
            <w:tcBorders/>
            <w:vAlign w:val="center"/>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r>
      <w:tr>
        <w:trPr/>
        <w:tc>
          <w:tcPr>
            <w:tcW w:w="44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4320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2333625"/>
                          </a:xfrm>
                          <a:prstGeom prst="rect">
                            <a:avLst/>
                          </a:prstGeom>
                        </pic:spPr>
                      </pic:pic>
                    </a:graphicData>
                  </a:graphic>
                </wp:inline>
              </w:drawing>
            </w:r>
          </w:p>
        </w:tc>
        <w:tc>
          <w:tcPr>
            <w:tcW w:w="463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57500" cy="257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0" cy="2571750"/>
                          </a:xfrm>
                          <a:prstGeom prst="rect">
                            <a:avLst/>
                          </a:prstGeom>
                        </pic:spPr>
                      </pic:pic>
                    </a:graphicData>
                  </a:graphic>
                </wp:inline>
              </w:drawing>
            </w:r>
          </w:p>
        </w:tc>
      </w:tr>
    </w:tbl>
    <w:tbl>
      <w:tblPr>
        <w:tblW w:w="10205" w:type="dxa"/>
        <w:jc w:val="left"/>
        <w:tblInd w:w="0" w:type="dxa"/>
        <w:tblLayout w:type="fixed"/>
        <w:tblCellMar>
          <w:top w:w="28" w:type="dxa"/>
          <w:left w:w="28" w:type="dxa"/>
          <w:bottom w:w="28" w:type="dxa"/>
          <w:right w:w="28" w:type="dxa"/>
        </w:tblCellMar>
      </w:tblPr>
      <w:tblGrid>
        <w:gridCol w:w="4595"/>
        <w:gridCol w:w="5610"/>
      </w:tblGrid>
      <w:tr>
        <w:trPr/>
        <w:tc>
          <w:tcPr>
            <w:tcW w:w="4595" w:type="dxa"/>
            <w:tcBorders/>
            <w:vAlign w:val="center"/>
          </w:tcPr>
          <w:p>
            <w:pPr>
              <w:pStyle w:val="TableContents"/>
              <w:bidi w:val="0"/>
              <w:spacing w:before="0" w:after="283"/>
              <w:jc w:val="left"/>
              <w:rPr>
                <w:sz w:val="4"/>
                <w:szCs w:val="4"/>
              </w:rPr>
            </w:pPr>
            <w:r>
              <w:rPr>
                <w:sz w:val="4"/>
                <w:szCs w:val="4"/>
              </w:rPr>
            </w:r>
          </w:p>
        </w:tc>
        <w:tc>
          <w:tcPr>
            <w:tcW w:w="5610" w:type="dxa"/>
            <w:tcBorders/>
            <w:vAlign w:val="center"/>
          </w:tcPr>
          <w:p>
            <w:pPr>
              <w:pStyle w:val="TableContents"/>
              <w:bidi w:val="0"/>
              <w:spacing w:before="0" w:after="283"/>
              <w:jc w:val="left"/>
              <w:rPr>
                <w:sz w:val="4"/>
                <w:szCs w:val="4"/>
              </w:rPr>
            </w:pPr>
            <w:r>
              <w:rPr>
                <w:sz w:val="4"/>
                <w:szCs w:val="4"/>
              </w:rPr>
            </w:r>
          </w:p>
        </w:tc>
      </w:tr>
      <w:tr>
        <w:trPr/>
        <w:tc>
          <w:tcPr>
            <w:tcW w:w="4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3. Dry AMD involves the loss of retina cells, creating an area of GA, which causes impaired vision and blindness</w:t>
            </w:r>
          </w:p>
        </w:tc>
        <w:tc>
          <w:tcPr>
            <w:tcW w:w="5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Figure 4. OpRegen is an injection of RPE cells delivered to the retina, with the potential to replace lost retinal cells and/or preserve or restore vision</w:t>
            </w:r>
          </w:p>
        </w:tc>
      </w:tr>
    </w:tbl>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 believe one of the most promising approaches to treat GA secondary to dry AMD is to replace the layer of damaged RPE cells with new, healthy, and functional RPE cells manufactured from a well-characterized, allogeneic cell line, transplanted to the subretinal space around the area of GA. OpRegen is a cell replacement therapy derived from our pluripotent cell technology in which our proprietary directed-differentiation methods convert pluripotent stem cells into nearly pure populations of RPE cells. Using this method, OpRegen is grown free of any animal products and consists of human RPE cells with high yield and purity that can be transplanted directly into the patient’s eye, where the patient’s own RPE cells are missing or dysfunctional. The goal of the OpRegen therapeutic approach is to slow or halt disease progression and to preserve and/or restore visual function.</w:t>
      </w:r>
    </w:p>
    <w:p>
      <w:pPr>
        <w:pStyle w:val="TextBody"/>
        <w:bidi w:val="0"/>
        <w:spacing w:before="240" w:after="283"/>
        <w:jc w:val="both"/>
        <w:rPr>
          <w:rFonts w:ascii="Times New Roman" w:hAnsi="Times New Roman"/>
          <w:sz w:val="20"/>
        </w:rPr>
      </w:pPr>
      <w:r>
        <w:rPr>
          <w:rFonts w:ascii="Times New Roman" w:hAnsi="Times New Roman"/>
          <w:color w:val="000000"/>
          <w:sz w:val="20"/>
        </w:rPr>
        <w:t>OpRegen is intended to be an allogeneic, or “off-the-shelf,” product provided to retinal surgeons, prepared in a ready-to-use “thaw-and-inject” form for transplantation. We believe OpRegen could have a lasting benefit from a single administration or may be administered every several years. This approach differs from other investigational agents, as well as from the two FDA-approved drugs for treatment of GA secondary to AMD, pegcetacoplan injection (SYFOVRE</w:t>
      </w:r>
      <w:r>
        <w:rPr>
          <w:rFonts w:ascii="Times New Roman" w:hAnsi="Times New Roman"/>
          <w:color w:val="000000"/>
          <w:sz w:val="13"/>
        </w:rPr>
        <w:t>®</w:t>
      </w:r>
      <w:r>
        <w:rPr>
          <w:rFonts w:ascii="Times New Roman" w:hAnsi="Times New Roman"/>
          <w:color w:val="000000"/>
          <w:sz w:val="20"/>
        </w:rPr>
        <w:t>) and avacincaptad pegol intravitreal solution (IZERVAY), and approved agents currently marketed for wet AMD, such as ranibizumab (Lucentis</w:t>
      </w:r>
      <w:r>
        <w:rPr>
          <w:rFonts w:ascii="Times New Roman" w:hAnsi="Times New Roman"/>
          <w:color w:val="000000"/>
          <w:sz w:val="13"/>
        </w:rPr>
        <w:t>®</w:t>
      </w:r>
      <w:r>
        <w:rPr>
          <w:rFonts w:ascii="Times New Roman" w:hAnsi="Times New Roman"/>
          <w:color w:val="000000"/>
          <w:sz w:val="20"/>
        </w:rPr>
        <w:t>) and aflibercept (Eylea</w:t>
      </w:r>
      <w:r>
        <w:rPr>
          <w:rFonts w:ascii="Times New Roman" w:hAnsi="Times New Roman"/>
          <w:color w:val="000000"/>
          <w:sz w:val="13"/>
        </w:rPr>
        <w:t>®</w:t>
      </w:r>
      <w:r>
        <w:rPr>
          <w:rFonts w:ascii="Times New Roman" w:hAnsi="Times New Roman"/>
          <w:color w:val="000000"/>
          <w:sz w:val="20"/>
        </w:rPr>
        <w:t>). All of these approaches require repeated, frequent (monthly or every-other-month) intravitreal injections into the eye.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Phase 1/2a clinical trial, OpRegen has demonstrated the potential to slow, stop or reverse disease progression in GA secondary to AMD. In addition, results of imaging analyses demonstrated rapid improvement in outer retinal structure from patients enrolled in this study, suggesting that OpRegen RPE cells may provide direct support to the patients’ remaining retinal cells within atrophic areas, improvements which can be detected within the first three months following a single administration. In this open-label, single-arm, multicenter, dose-escalation trial evaluating a single administration of OpRegen, the investigational product was delivered subretinally in patients with bilateral GA. Patient enrollment completed in November 2020, with twenty-four patients recruited into four cohorts. The first three cohorts enrolled only legally blind patients with a best corrected visual acuity (BCVA) of 20/200 or worse. The fourth cohort enrolled 12 patients with impaired vision (BCVA from 20/65 to 20/250 with smaller mean areas of GA). Cohort 4 also included patients treated with a new “thaw-and-inject” formulation of OpRegen, which could be shipped directly to sites and used immediately upon thawing. The primary objective of the study was to evaluate the safety and tolerability of OpRegen as assessed by the incidence and frequency of treatment-emergent adverse events. Secondary objectives evaluated the preliminary activity of OpRegen treatment by assessing the changes in ophthalmological parameters measured by various methods of primary clinical relevance. Long-term follow-up of patients in this study is currently ongoing.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from the primary endpoint, the safety and tolerability at two years post OpRegen transplant suggest that OpRegen RPE cells were generally well-tolerated with an acceptable safety profile. Importantly, no unexpected ocular adverse events (AEs) were observed and those events that were observed were considered expected based on the surgical procedures involved in OpRegen administration, such as vitrectomy. Most AEs reported (Cohorts 1-3, 87%; Cohort 4, 93%) were mild in severity.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1/2a clinical study 24-month visual acuity results were presented at the 2024 Retinal Cell &amp; Gene Therapy Innovation Summit in May 2024. Improvement in visual acuity and outer retinal structure in patients with extensive OpRegen bleb coverage of their GA area was present at 12 months (primary endpoint) and persisted through 24 months. BCVA gains in Cohort 4 patients (less advanced GA than in other cohorts) measured at 12 months were sustained at 24 months following a single subretinal administration of OpRegen. Mean change in BCVA among treated eyes for patients (n=10) completing 2-year follow up was +5.5 letters (Early Treatment Diabetic Retinopathy Study (“ETDRS”) assessment). Effects were greater on average in the five (5) patients with extensive OpRegen coverage of atrophic areas at the time of surgical delivery. In these patients’ treated eyes, the mean change in BCVA was +7.4 ETDRS letters for those completing 2-year follow-up (n=5). Maintenance or improvements in external limiting membrane (“ELM”) and RPE drusen complex (“RPEDC”) structure on OCT were observed in five patients in Cohort 4 with extensive OpRegen coverage of atrophic areas at the time of surgical delivery. Mean improvement of RPEDC area compared with baseline was maintained in treated eyes from 12 months (+2.6 mm2; n=5) to 24 months (+2.6 mm2; n=4). In comparison, mean change in RPEDC area decreased in untreated fellow eyes from 12 months (-1.1 mm2; n=5) to 24 months (-2.8 mm2; n=4). Mean change in ELM area increased in treated eyes from 12 months (+0.4 mm2; n=5) to 24 months (+0.8 mm2; n=4). In comparison, mean change in ELM area decreased in untreated fellow eyes from 12 months (-1.3 mm2; n=5) to 24 months (-1.9 mm2; n=4). Overall, these data suggest that OpRegen RPE cells may counteract RPE cell dysfunction and loss in GA by providing support to the remaining retinal cells within atrophic areas and such effects are durable through at least 24 months after a single 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36 months of follow-up in 10 of 12 patients with data available and treated as part of Cohort 4 (patients who had better baseline vision and smaller areas of GA at baseline than earlier cohorts who were legally blind), have recently been analyzed. Despite dry AMD being an irreversible and degenerative disease leading to progressive vision loss, visual acuity gains and retinal structure improvements observed in OpRegen-treated eyes in the Phase 1/2 clinical study continue to persist, suggesting that OpRegen RPE cells may provide durable support to patients’ remaining retinal cells, including those near or within atrophic areas. Evidence of durable engraftment of OpRegen RPE cells has surpassed 5 years in the earliest-treated patients, supporting the potential for OpRegen to be a one-time treatment for patients with dry AMD. Overall, in the Phase 1/2a study (N=24), OpRegen continues to show an acceptable safety profile, which remains unchanged following inclusion of the recently-collected long-term follow-up safety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RG6501 (OpRegen) is currently being developed under an exclusive worldwide collaboration between us and Roche and Genentech. See “Collaborations—Roche Collaboration Agreement,”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2022, Genentech launched a Phase 2a, multicenter, open-label, single arm clinical study of RG6501 (OpRegen), the GAlette study with patient enrollment initiated in March 2023. The study is intended to optimize subretinal surgical delivery and evaluate biological activity of OpRegen in up to 60 patients with GA secondary to AMD. The primary objectives of the study are to evaluate (i) the success of subretinal surgical delivery of OpRegen as measured by the proportion of patients with subretinal surgical delivery of OpRegen to target regions under the retina, and (ii) the safety of subretinal surgical delivery of OpRegen as measured by the incidence and severity of procedure-related adverse events at 3 months following surgery. The secondary objective is to evaluate the biological activity of OpRegen measured by the proportion of patients with qualitative improvement in retinal structure, as determined by Optical Coherence Tomography (SD-OCT) imaging, within 3 months following surgery.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OPC1 is an oligodendrocyte progenitor cell therapy in Phase 1/2a development for the treatment of acute SCI. OPC1 has an extensive long-term safety profile and has been tested in two clinical trials to date: a five-patient Phase 1 safety trial in acute thoracic SCI, where all active subjects have been followed for at least 13 years; and a 25-patient Phase 1/2a multicenter dose-escalation trial in subacute cervical SCI, where all active subjects have been evaluated for at least 7 years. OPC1 is currently being tested in a phase 1 safety study of a novel delivery device, and in parallel, we are working on the design of a larger comparative clinical study. SCI occurs when the spinal cord is subjected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severe crush or contusion injury, such as that caused by a car or motorcycle accident, and typically results in severe functional impairment, including limb paralysis, aberrant pain signaling, and loss of bladder and/or sexual function. There are approximately 18,000 new spinal cord injuries annually in the U.S. (NSCIC SCI Facts and Figures at a Glance (2023)), and there are currently no FDA-approved drugs specifically for the treatment of SCI, although methylprednisolone, a corticosteroid generally used as an anti-inflammatory drug, is sometimes prescribed on an off-label basis to reduce acute inflammation in the injured spinal cord immediately after injury. Approaches to treat this complex injury may include multiple mechanisms of action, such as biologics that preserve surviving neurons and stimulate new nerve axon outgrowth, suppression of lesion cavity formation at the injury site, generation of new blood vessels to repair the ischemic damage from injury, and myelination of the demyelinated and newly formed nerve axons. A potential therapeutic target in SCI is replacement of oligodendrocytes that are selectively lost at the injury site. As the sole source of the insulating protein myelin in the brain and spinal cord, oligodendrocytes wrap around nerve axons and allow the conduction of electrical impulses throughout the CNS, as shown in </w:t>
      </w:r>
      <w:r>
        <w:rPr>
          <w:rFonts w:ascii="Times New Roman" w:hAnsi="Times New Roman"/>
          <w:b/>
          <w:color w:val="000000"/>
          <w:sz w:val="20"/>
        </w:rPr>
        <w:t>Figure 5</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5. Oligodendrocytes are the myelinating cells of the CNS and are critical for nerve signal conduction.</w:t>
      </w:r>
    </w:p>
    <w:p>
      <w:pPr>
        <w:pStyle w:val="TextBody"/>
        <w:bidi w:val="0"/>
        <w:jc w:val="center"/>
        <w:rPr/>
      </w:pPr>
      <w:r>
        <w:rPr/>
        <w:drawing>
          <wp:inline distT="0" distB="0" distL="0" distR="0">
            <wp:extent cx="2428875" cy="238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28875" cy="2381250"/>
                    </a:xfrm>
                    <a:prstGeom prst="rect">
                      <a:avLst/>
                    </a:prstGeom>
                  </pic:spPr>
                </pic:pic>
              </a:graphicData>
            </a:graphic>
          </wp:inline>
        </w:drawing>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OPC1 is derived from our pluripotent cell technology under cGMP conditions using a directed differentiation method. These cells are stored frozen until ready for use and prepared for direct administration into the injured spinal cord. Based on preclinical studies, when OPC1 is transplanted into the injured spinal cord, the cells undergo further maturation to generate a replacement population of oligodendrocytes at the injury site that are capable of remyelinating denuded and newly formed nerve axons. Based on preclinical studies, prior to their maturation, the transplanted oligodendrocyte progenitor cells are believed to stimulate additional reparative processes, including promotion of neuron survival and nerve axon outgrowth, and induction of blood vessel formation in and around the injury site. In addition, OPC1 cells can migrate from the injection point to the injury site where they generate a supportive tissue matrix and suppress cavitation (Figure 6). Cavitation is a destructive process that occurs within the spinal cord following SCI, and typically results in permanent loss of motor and sensory function. A patient with cavitation can develop a condition known as syringomyelia, which results in additional neurological and functional damage to the patient and can result in chronic pain. Based on the multiple reparative properties associated with OPC1, we believe this candidate cell therapy product is ideally suited to treat neurological conditions such as SCI and other demyelination disorders of the CNS.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Figure 6. Suppression of spinal cavitation in a rat contusion model</w:t>
      </w:r>
    </w:p>
    <w:p>
      <w:pPr>
        <w:pStyle w:val="TextBody"/>
        <w:bidi w:val="0"/>
        <w:jc w:val="center"/>
        <w:rPr/>
      </w:pPr>
      <w:r>
        <w:rPr/>
        <w:drawing>
          <wp:inline distT="0" distB="0" distL="0" distR="0">
            <wp:extent cx="3981450"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81450" cy="8096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OPC1 has been supported by a $14.3 million clinical development grant from CIRM. We plan to apply for additional funding from CIRM to support continued clinical development of OPC1 for the treatment of SCI when CIRM begins accepting new applications. See “Grants from Government Entities – Grants from the California Institute for Regenerative Medicine,” below.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two clinical trials of OPC1 have been completed: a Phase 1 clinical safety trial in 5 patients with thoracic spinal cord injuries and a Phase 1/2a multicenter dose-escalation clinical trial in 25 patients with cervical spinal cord injuries. Results from both studies have been published in the </w:t>
      </w:r>
      <w:r>
        <w:rPr>
          <w:rFonts w:ascii="Times New Roman" w:hAnsi="Times New Roman"/>
          <w:i/>
          <w:color w:val="000000"/>
          <w:sz w:val="20"/>
        </w:rPr>
        <w:t>Journal of Neurosurgery Spine</w:t>
      </w:r>
      <w:r>
        <w:rPr>
          <w:rFonts w:ascii="Times New Roman" w:hAnsi="Times New Roman"/>
          <w:color w:val="000000"/>
          <w:sz w:val="20"/>
        </w:rPr>
        <w:t xml:space="preserve">. Key findings from these clinical studies are summarized in </w:t>
      </w:r>
      <w:r>
        <w:rPr>
          <w:rFonts w:ascii="Times New Roman" w:hAnsi="Times New Roman"/>
          <w:b/>
          <w:color w:val="000000"/>
          <w:sz w:val="20"/>
        </w:rPr>
        <w:t>Figure 7</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b/>
          <w:color w:val="000000"/>
          <w:sz w:val="20"/>
        </w:rPr>
        <w:t>Figure 7. OPC1 Thoracic &amp; Cervical Clinical Trials Overview</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drawing>
          <wp:inline distT="0" distB="0" distL="0" distR="0">
            <wp:extent cx="5943600" cy="3000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000375"/>
                    </a:xfrm>
                    <a:prstGeom prst="rect">
                      <a:avLst/>
                    </a:prstGeom>
                  </pic:spPr>
                </pic:pic>
              </a:graphicData>
            </a:graphic>
          </wp:inline>
        </w:drawing>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FDA designated OPC1 as a RMAT for the treatment of subacute SCI. RMAT designation allows for an accelerated development pathway and includes the ability for increased interfacing with the FDA during clinical development. The FDA has also granted OPC1 Orphan Drug Designation, providing a pathway to possible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2019, we transferred all cGMP manufacturing processes, including the establishment of cell banks and the OPC1 process development and manufacturing for clinical studies, to CCN, our cell therapy manufacturing facility. Improvements to the manufacturing process were performed to create enhancements to the starting material, production process and scale and to achieve greater purity of OPC1. We also developed a ready-to-use thaw-and-inject formulation of OPC1 to simplify logistics and handling at the point of care and eliminate dose preparation at the clinical site. We have also manufactured clinical batches based on the improved process in a thaw-and-inject formulation in preparation for a larger-scale, late-stage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2021, we announced an exclusive agreement with Neurgain Technologies, Inc. (“Neurgain”), to evaluate a novel delivery system for OPC1. Preliminary assessment of prototypes revealed promising compatibility with OPC1 product while simplifying the surgical procedure by providing surgeons with an instrument that is small, simple to use, and would not require stopping the patient’s ventilator to perform the injection, allowing for flexibility with accurate delivery to the injury site. We continued to evaluate the Neurgain device throughout 2021 through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In June 2023, we launched a newly created forum to discuss the recent innovation, advancements and challenges in the treatment of SCI: the 1st Annual Spinal Cord Injury Investor Symposium. In addition to CIRM, the sponsors and collaborators for this inaugural event included the Christopher &amp; Dana Reeve Foundation, the Sanford Stem Cell Institute at the University of California San Diego, and AbbVie. The event presented an opportunity for an open and collaborative dialogue among leading therapeutic area experts in SCI, researchers, representatives from companies working to develop various treatment approaches for SCI, persons with lived experience, caregivers, advocacy organizations, investors, healthcare analysts, and members of the public and media. In 2024, we hosted the 2</w:t>
      </w:r>
      <w:r>
        <w:rPr>
          <w:rFonts w:ascii="Times New Roman" w:hAnsi="Times New Roman"/>
          <w:color w:val="000000"/>
          <w:sz w:val="13"/>
        </w:rPr>
        <w:t xml:space="preserve">nd </w:t>
      </w:r>
      <w:r>
        <w:rPr>
          <w:rFonts w:ascii="Times New Roman" w:hAnsi="Times New Roman"/>
          <w:color w:val="000000"/>
          <w:sz w:val="20"/>
        </w:rPr>
        <w:t>Annual Spinal Cord Injury Investor Symposium.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11, 2025 we announced the initiation of our DOSED clinical study, to evaluate the safety and utility of a novel delivery device to deliver OPC1 to the spinal cord of patients with an SCI and UC San Diego Health, a CIRM Alpha Clinic, was named as the first participating study site. DOSED is a Phase 1b, open label, multi-center, device safety study, in 3-5 subacute and 3-5 stable chronic subjects with complete (ASIA Impairment Scale A) or incomplete (ASIA Impairment Scale B), traumatic, focal SCI affecting either cervical (C4-C7) or thoracic (T1-T10) vertebrae. The primary objective of this study is to evaluate the safety of a novel Manual Inject Parenchymal Spinal Delivery System (MI PSD System) to administer OPC1 to the spinal parenchyma. The primary endpoint is frequency and severity of the MI PSD System or injection procedure related adverse events (AEs) through 30 days (1 month). Secondary endpoints are frequency and severity of AEs through 90 days. Exploratory endpoints include measurements of neurological impairment and function, changes from baseline.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actively working on expanding our existing and establishing new collaborations with SCI patient engagement and advocacy organizations, to enhance awareness of SCI and elevate the patient’s voice in the treatment development process.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Preclinical and Research Cell Transplant Programs</w:t>
      </w:r>
    </w:p>
    <w:p>
      <w:pPr>
        <w:pStyle w:val="TextBody"/>
        <w:bidi w:val="0"/>
        <w:spacing w:before="120" w:after="283"/>
        <w:jc w:val="both"/>
        <w:rPr>
          <w:rFonts w:ascii="Times New Roman" w:hAnsi="Times New Roman"/>
          <w:sz w:val="20"/>
        </w:rPr>
      </w:pPr>
      <w:r>
        <w:rPr>
          <w:rFonts w:ascii="Times New Roman" w:hAnsi="Times New Roman"/>
          <w:i/>
          <w:color w:val="000000"/>
          <w:sz w:val="20"/>
        </w:rPr>
        <w:t>Auditory Neurons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auditory neurons program, ANP1 was established in 2022 with the goal of advancing auditory neuron transplant therapy as a treatment option for hearing loss conditions. The initial focus of this program is on the treatment of auditory neuropathy spectrum disorders ("ANSD"), a group of conditions characterized by the loss of auditory neuron function where the sound is not transmitted properly from the cochlea (inner ear) to the brain. Based on our proprietary technology platform, we have developed a unique differentiation process for generating auditory neuron progenitor (“ANP”) cells. In February 2023, we entered into a collaboration with the University of Michigan and Yehoash Raphael, Ph.D., The R. Jamison and Betty Williams Professor of Otolaryngology, Department of Otolaryngology-Head and Neck Surgery and Lab Director at the University of Michigan Kresge Hearing Research Institute, where preclinical testing of ANP1 has been ongoing. Initial preclinical results have been positive, with a demonstrated ability to deliver ANP cells into specific target areas utilizing standard surgical tools as well as to establish initial engraftment into certain anatomical destinations and survival after transplantation. ANP cells were confirmed to retain the expression of neuronal-specific markers post-transplantation and additionally demonstrated the ability to migrate. These results support the advancement of ANP1 into its new phase of preclinical development, the evaluation of the long-term engraftment of ANP cells and their functional assessment in hearing loss.</w:t>
      </w:r>
    </w:p>
    <w:p>
      <w:pPr>
        <w:pStyle w:val="TextBody"/>
        <w:bidi w:val="0"/>
        <w:spacing w:before="360" w:after="283"/>
        <w:jc w:val="both"/>
        <w:rPr>
          <w:rFonts w:ascii="Times New Roman" w:hAnsi="Times New Roman"/>
          <w:sz w:val="20"/>
        </w:rPr>
      </w:pPr>
      <w:r>
        <w:rPr>
          <w:rFonts w:ascii="Times New Roman" w:hAnsi="Times New Roman"/>
          <w:i/>
          <w:color w:val="000000"/>
          <w:sz w:val="20"/>
        </w:rPr>
        <w:t>Photoreceptors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photoreceptor program, PNC1, is focused on a process of directing the differentiation of human pluripotent cells into clinical-grade transplantable photoreceptor precursors/cells and to show their further differentiation, integration, and function after transplantation into the subretinal space of animal models of photoreceptor degeneration. Photoreceptor degeneration is the hallmark of a variety of retinal diseases such as retinitis pigmentosa (“RP”). Currently, the only approved treatments for RP are gene therapies which treat specific genetic defects that lead to RP. Our PNC1 program is aimed to replace damaged photoreceptors regardless of the cause of degeneration.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Research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RND1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RND1 is a cell transplant candidate based on a novel hypoimmune iPSC cell line. RND1 is being developed in collaboration with our gene editing partner Factor Biosciences for the treatment of an undisclosed condition. We believe the hypoimmune iPSC cell line in development can provide a source of pluripotent cells for multiple product candidates in CNS diseases.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we entered into an option and license agreement with Factor (as assigned from Eterna) to develop engineered hypoimmune iPSC line that we will evaluate for differentiation into cell transplant product candidates for CNS diseases and certain indications, including RND1. We believe this collaboration allows us to leverage our expertise by capitalizing our directed cell differentiation and manufacturing capabilities with externally-sourced ex vivo gene editing technology. This is reflective of a portion of our corporate strategy which aims to capitalize on our process development capabilities by combining them with cell engineering and editing technologies to produce novel cell therapies with potentially superior product profiles compared to currently marketed therapies,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2023, we announced the initiation of certain development activities to generate a novel iPSC line under our agreement with Factor and our selection of specific gene edits for the initial product candidate to be developed by Factor. The edits include: the targeted deletion of the B2M gene, designed to reduce the immunogenicity of product candidates derived from the lines by inhibiting rejection by CD8+ T cells; the targeted insertion of the HLA-E gene, designed to overexpress HLA-E and prevent the allogeneic NK cell response; and a third undisclosed edit intended to confer clinical differentiation and a competitive advantage in the applicable indications. We expect that these edits may expand the edited cell lines’ overall utility, including for non-immune privileged or non-human leukocyte antigen ("HLA") matched indications and may further differentiate the cell line from others currently in use by competitors.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accelerate the discovery and advancement of transplanting specific cell types into the body, we have entered into, and intend to seek additional opportunities to form, collaborations with a diverse group of strategic partners. We have entered into collaborations with pharmaceutical and biotechnology companies, government agencies, academic laboratories, and research institutes with resources and expertise in diverse areas in an effort to advance our discovery and development platforms and will continue to evaluate such collaborations.</w:t>
      </w:r>
    </w:p>
    <w:p>
      <w:pPr>
        <w:pStyle w:val="TextBody"/>
        <w:bidi w:val="0"/>
        <w:spacing w:before="360" w:after="283"/>
        <w:jc w:val="both"/>
        <w:rPr>
          <w:rFonts w:ascii="Times New Roman" w:hAnsi="Times New Roman"/>
          <w:sz w:val="20"/>
        </w:rPr>
      </w:pPr>
      <w:r>
        <w:rPr>
          <w:rFonts w:ascii="Times New Roman" w:hAnsi="Times New Roman"/>
          <w:i/>
          <w:color w:val="000000"/>
          <w:sz w:val="20"/>
        </w:rPr>
        <w:t>Roche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17, 2021, Lineage entered into the Roche Agreement, pursuant to which Lineage granted to Roche exclusive worldwide rights to develop and commercialize RPE cell therapies, including its proprietary cell therapy known as OpRegen, for the treatment of ocular disorders, including advanced dry AMD with GA.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assumed responsibility for further clinical development and commercialization of OpRegen and Lineage is responsible for completing activities related to the ongoing clinical study Phase 1/2a open-label, dose-escalation clinical safety and efficacy study in patients with advanced dry AMD with GA,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Roche paid Lineage a $50.0 million upfront payment (which was received in January 2022) and Lineage is eligible to receive up to an additional $620.0 million in developmental, regulatory and commercialization milestone payments. Lineage is also eligible for tiered double-digit percentage royalties on net sales of OpRegen. All milestone payments, and royalty payments, due under the Roche Agreement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earlier terminated by either party, the Roche Agreement will expire on a product-by-product and country-by-country basis upon the expiration of all of Roche’s payment obligations under the Roche Agreement. Roche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terminate the Roche Agreement in its entirety, or on a product-by-product or country-by-country basis, at any time with advanced written notice. Either party may terminate the Roche Agreement in its entirety with written notice for the other party’s material breach if such party fails to cure the breach. Either party also may terminate the Roche Agreement in its entirety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intercompany relationship between Lineage and CCN, Lineage is responsible for payment to the IIA (as defined below) approximately 24.1% of the upfront payment and of any future payments Lineage receives under the Roche Agreement, up to an aggregate cap on all payments to IIA, such cap growing over time via interest accrual until paid in full. As of December 31, 2024, the aggregate cap amount was $95.4 million. In addition, pursuant to the Second Amended and Restated License Agreement, dated June 15, 2017, CCN, and Hadasit Medical Research and Development Ltd. (“Hadasit”), as amended, and a letter agreement entered into between CCN and Hadasit on December 17, 2021, Lineage is responsible for payment to Hadasit (i) a maximum of 21.5% of the upfront payment (subject to certain reductions) and of any milestone payments Lineage receives from Roche under the Roche Agreement, and (ii) up to 50% of all royalty payments (subject to a maximum payment of 5% of net sales of products) Lineage receives from Roche under the Roche Agreement. In accordance with the foregoing obligations, from the $50.0 million upfront payment Lineage received from Roche in January 2022, Lineage paid $12.1 million to the IIA and $8.9 million to Hadasit. See “Grants from Government Entities,” below, and Note 13 (Commitments and Contingencies) to our consolidated financial statements included in this report for additional information related to our obligations to the IIA and Hadasit.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2024 we established a new Services Agreement with Genentech, a member of the Roche Group, to support ongoing development of OpRegen. Under this new agreement, Lineage agreed to provide additional clinical, technical, training and manufacturing services that further support the ongoing advancement and optimization of the OpRegen program. These additional services will be primarily funded by Genentech and include: (i) activities to support the ongoing Phase 1/2a study and currently-enrolling Phase 2a study; and (ii) additional technical training and materials related to Lineage’s cell therapy technology platform to support commercial manufacturing strategies. </w:t>
      </w:r>
    </w:p>
    <w:p>
      <w:pPr>
        <w:pStyle w:val="TextBody"/>
        <w:bidi w:val="0"/>
        <w:spacing w:before="360" w:after="283"/>
        <w:jc w:val="both"/>
        <w:rPr>
          <w:rFonts w:ascii="Times New Roman" w:hAnsi="Times New Roman"/>
          <w:sz w:val="20"/>
        </w:rPr>
      </w:pPr>
      <w:r>
        <w:rPr>
          <w:rFonts w:ascii="Times New Roman" w:hAnsi="Times New Roman"/>
          <w:b/>
          <w:color w:val="000000"/>
          <w:sz w:val="20"/>
        </w:rPr>
        <w:t>Grants from Government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Grants from the Israeli Innovation Authority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Israeli Encouragement of Research, Development and Industrial Initiative Technology Law, 5744-1984, as amended, and related regulations (collectively, the “Innovation Law”), research and development programs which meet specified criteria and are approved by the Israel Innovation Authority (the “IIA”) are eligible for grants of up to 50% of the project’s expenditure, as determined by the research committee, in exchange for the payment of royalties from the revenues generated from the sale of product candidates and related services developed, in whole or in part pursuant to, or as a result of, a research and development program funded by the IIA. The royalties are generally at a range of 3.0% to 5.0% of revenues until the entire IIA grant is repaid, together with an annual interest generally tied to an interest rate index.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Innovation Law, the manufacture of product candidates developed with government grants is required to be performed in Israel. The transfer of manufacturing activity outside Israel may be subject to the prior approval of the IIA, and if approved, may increase the royalties payable to the IIA, in certain cases substantially. The amount of the increase in the royalties payable depends on the percentage of manufacturing activity that occurs outside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know-how developed within the framework of the Innovation Law plan may not be transferred to third parties outside Israel without the prior approval of a governmental committee chartered under the Innovation Law. The IIA approval to transfer know-how created, in whole or in part, in connection with an IIA-funded project to a third party outside Israel where the transferring company remains an operating Israeli entity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transfer of such know-how to a party outside Israel where the transferring company ceases to exist as an Israeli entity is subject to a redemption fee. The redemption fee in case of transfer of know-how to a party outside Israel is generally based on the ratio between the aggregate IIA grants received by the transferring company and the transferring company’s aggregate research and development expenses, multiplied by the transaction consideration. The maximum amount payable to the IIA in case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transfer of know-how outside Israel will not exceed six times the value of the grants received plus interest. In the event that the grant recipient ceases to be an Israeli corporation such payment shall not exceed six times the value of the grants received plus interest, with a possibility to reduce such payment to up to three times the value of the grants received plus interest if the research and development activity remains in Israel for a period of three years after payment to the IIA.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restrictions under the Innovation Law, including restrictions on the sale, transfer or licensing to a non-Israeli entity of know-how developed as part of the programs under which the grants were given, continue to apply even after the repayment of royalties in full by the grant recipient.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 of CCN’s research and development efforts have been financed, partially, through grants that it has received from the IIA and when we acquired our holdings in CCN, we undertook in writing, vis-à-vis the IIA, to comply with, and to ensure the compliance by CCN with, the Innovation Law. We therefore must comply with the requirements of the Innovation Law and related regulations. To date, through a series of separate grants beginning in 2007, CCN received a total of $15.4 million from the IIA to support the OpRegen program. See Note 13 (Commitments and Contingencies) to our consolidated financial statements included in this report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Grants from the California Institute for Regenerative Medicine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development of OPC1 has been supported by $14.3 million of funding from CIRM, a state agency established to fund stem cell research and development of new stem cell-based treatments. The terms of our grant award from CIRM require royalty payments to the California State General Fund based on net commercial revenue from the sale of any product, drug or service arising from CIRM-funded research as follows: 0.1% per $1.0 million of funds granted for the earlier of 10 years or nine times the award amount that has been paid. In addition, a 1% royalty will be owed on net commercial revenue in excess of $500 million per year until the last to expire patent covering a CIRM-funded invention, if any, contributed towards the commercialization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2024, we applied for clinical program funding from CIRM to support the DOSED clinical study. Later in February 2024, CIRM’s governing board determined to postpone acceptance of clinical funding applications submitted after January 31, 2024, in response to an unprecedented influx of applications and resulting review and budgetary issues. CIRM has announced that they anticipate opportunities for clinical funding to be re-opened in Spring 2025 and at that time we would plan to submit our grant applicant in support of our DOSED clinical study as part of that clinical funding program. However, no assurances can be given as to when CIRM will accept new clinical program funding applications or, if it does, that CIRM will accept our application for review or that it will award us any additional funding for the OPC1 program. See the risk factor titled, “We have relied on grant funding from CIRM to support clinical development of OPC1 and we may not be able to obtain additional CIRM funding, which could negatively impact our ability to advance clinical development of OPC1, as well as our operating results and financial condition. In addition, our profits from the sale of products resulting from CIRM-funded development, if any, will be reduced by amounts that we are required to pay CIRM,” in Item 1A. Risk Factors of this report.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to enter into collaborations for additional product candidates currently in development and which cover a range of therapeutic areas. Generally, these product candidates are based on the same pluripotent platform technology and would employ a similar guided cell differentiation and transplant approach as our current clinical-stage products.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seek to protect and rely on our proprietary cell-based therapy platform technologies and associated development and manufacturing capabilities and derived product candidates with intellectual property through a variety of measures, including seeking and maintaining patents intended to cover our products and compositions, their methods of use and processes for their manufacture, our platform technologies and any other inventions that are commercially important to the development of our business and, when appropriate, trade secret protection. We have sought, and intend to continue to seek, appropriate patent protection for important and strategic components of our proprietary technologies by filing patent applications in the United States and internationally. We may also file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patent applications, when appropriate, to cover improvements on our manufacturing processes, clinical products, clinical product candidates, and related technologies. From time to time, we assess our patents and pending applications covering our products and product candidates. If we determine that any patents or patent applications no longer provide adequate or necessary protection, we may transfer or abandon such patents and patent applications to avoid incurring unnecessary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further protect our proprietary confidential information, know-how, and trade secrets, we require confidentiality agreements with our employees, consultants, vendors, collaborators and similar third parties. For example, we require our employees and consultants to execute confidentiality and invention assignment agreements upon accepting employment or entering into other relationships with us. We also implement internal policies and procedures to ensure protection of our proprietary confidential information including know-how and trade secrets through, for example, limited and restricted confidential access to this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no assurances that any of our intellectual property rights will guarantee complete or adequate protection or market exclusivity for our products and product candidates. We also enter into collaborative and other similar contractual arrangements with third parties, such as license agreements, to in-license and/or out-license intellectual property rights. Our financial success will be dependent, in part, on our ability to obtain rights to commercially valuable patents and other intellectual property, to protect and enforce our intellectual property rights and to operate without knowingly infringing any intellectual property rights of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license, directly or through our subsidiaries, patent families that include several hundred U.S. and international patents and patent applications. We cannot be certain that issued patents will be enforceable or provide adequate protection or that pending applications will result in issued patents.</w:t>
      </w:r>
    </w:p>
    <w:p>
      <w:pPr>
        <w:pStyle w:val="TextBody"/>
        <w:bidi w:val="0"/>
        <w:spacing w:before="360" w:after="283"/>
        <w:jc w:val="both"/>
        <w:rPr>
          <w:rFonts w:ascii="Times New Roman" w:hAnsi="Times New Roman"/>
          <w:sz w:val="20"/>
        </w:rPr>
      </w:pPr>
      <w:r>
        <w:rPr>
          <w:rFonts w:ascii="Times New Roman" w:hAnsi="Times New Roman"/>
          <w:i/>
          <w:color w:val="000000"/>
          <w:sz w:val="20"/>
        </w:rPr>
        <w:t>OpRegen</w:t>
      </w:r>
      <w:r>
        <w:rPr>
          <w:rFonts w:ascii="Times New Roman" w:hAnsi="Times New Roman"/>
          <w:i/>
          <w:color w:val="000000"/>
          <w:sz w:val="13"/>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solely own and have rights to U.S. and international issued patents and pending patent applications relating to OpRegen, including those in-licensed from Hadasit. Our solely owned pending patent applications include those relating to a cryopreserved thaw-and-inject formulation which, if issued, will have estimated patent expiration dates in 2038. The issued patents and pending patent applications, if issued, have expiration dates ranging from 2028 to 2042. Pursuant to the Roche Agreement, we have licensed these patent rights to Roche to further develop and commercialize RPE cell therapies, including OpRegen (see “—Collaborations—Roche Collaboration Agreement” above).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own numerous U.S. and international issued patents and pending patent applications that are relevant to neural cells, such as oligodendrocyte progenitor cells, that are directed to the differentiation of pluripotent stem cells, including human embryonic stem (“hES”) cells, into various neural cell types, as well as various culture and purification methods. These issued patents and pending patent applications include nine patent families directed to improved methods of producing oligodendrocyte progenitor cells, oligodendrocyte progenitor cell compositions, and methods of treatment of spinal cord injury using oligodendrocyte progenitor cells. These patent families include four U.S. patents directed to methods for producing oligodendrocyte progenitor cells, composition of oligogendrocyte progenitor cells and methods of treatment of spinal cord injury using oligodendrocyte progenitor cells. The estimated patent expiration dates of these nine patent families range from 2036 to 2046. The commercial success of OPC1 depends, in part, upon our ability to exclude competition for this product with the existing patent portfolio and new patent applications that may be filed, regulatory exclusivity, undisclosed know-how and/or trade secrets, or a combination of these exclusivity barriers to entry.</w:t>
      </w:r>
    </w:p>
    <w:p>
      <w:pPr>
        <w:pStyle w:val="TextBody"/>
        <w:bidi w:val="0"/>
        <w:spacing w:before="360" w:after="283"/>
        <w:jc w:val="both"/>
        <w:rPr>
          <w:rFonts w:ascii="Times New Roman" w:hAnsi="Times New Roman"/>
          <w:sz w:val="20"/>
        </w:rPr>
      </w:pPr>
      <w:r>
        <w:rPr>
          <w:rFonts w:ascii="Times New Roman" w:hAnsi="Times New Roman"/>
          <w:i/>
          <w:color w:val="000000"/>
          <w:sz w:val="20"/>
        </w:rPr>
        <w:t>Auditory Neurons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ten pending patent applications for our ANP1 program which include two pending U.S. provisional patent applications and a pending U.S. utility patent application, six pending international patent applications and a PCT patent application. The pending U.S. utility application and the pending international applications if issued would have estimated patent expiration dates in 2043. It is anticipated that the pending provisional patent application will be converted to a PCT patent application in 2026. It is anticipated that the pending PCT patent application will be converted to a U.S. utility patent application and one or more international patent applications in 2026 and, if issued, would have estimated patent expiration dates in 2045.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Photoreceptors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two patent families for our PNC1 program. These patent families include issued U.S. and international patents and pending patent applications. One of these patent families is owned by us and includes U.S. and international pending patent applications and issued patents with estimated patent expiration dates in 2036. The other patent family is jointly owned by us and Hadasit resulting from the collaborative efforts of Hadasit and CCN pursuant to the photoreceptor development program under the Second Amended and Restated License Agreement between Hadasit and CCN. This jointly owned patent family includes a pending U.S. utility patent applications and six international patent applications and, if issued, would have estimated patent expiration dates in 2043. We removed the photoreceptor development program from the scope of that license agreement in April 2024, and the pending U.S and international patent applications will continue to be jointly owned by us and Hadasit.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Risks Related to Obtaining and Enforcing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patent applications are confidential until a patent application is published or a patent is issued, we may not know if our competitors have filed patent applications for technology covered by our pending applications or if we were the first to invent or first to file an application directed toward the technology that is the subject of our patent applications. Competitors may have filed patent applications or received patents and may obtain additional patents or other proprietary rights that block or compete with our products. In addition, if competitors file patent applications covering our technology, we may have to participate in interference/derivation proceedings or litigation to determine the right to a patent. Litigation and interference/derivation proceedings are unpredictable and expensive, such that, even if we are ultimately successful, our results of operations may be adversely affected by such events. Accordingly, there is a risk that any patent applications that we file and any patents that we hold or later obtain could be challenged by third parties and be declared invalid in view of third-party patent applications and/or patents or through other proceedings before the U.S. Patent and Trademark Office such as post-grant reviews, reexaminations, and inter partes’ reviews or oppositions and other comparable proceedings in foreign jurisdictions.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third parties, including manufacturers of generics and biosimilars that may choose to launch or attempt to launch their products before the expiration of our patent or regulatory exclusivity.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against us that may exceed any amounts that we may accrue on our financial statements as a reserve for contingent liabilities.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enforcement of patent rights often requires litigation against third-party infringers, and such litigation can be costly to pursue. Even if we succeed in having new patents issued or in defending any challenge to issued patents, there is no assurance that our patents will be comprehensive enough to provide us with meaningful patent protection against our competitors.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we had 77 employees, of which 24 were employed by Lineage and 53 were employed by CCN and work in Israel. Of the 77 employees, 70 were employed on a full-time basis and seven were employed on a part-time basis. Nine employees hold Ph.D. degrees in one or more fields of science or doctorates in medicine. None of our employees are covered by a collective bargaining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of pluripotent-derived products is complex and requires the use of innovative technologies to handle living cells. Manufacturing these products requires facilities specifically designed for and validated for this purpose and specific quality assurance and quality control procedures are necessary. Currently, all of our cGMP manufacturing processes, including cell banking, staff training, and product manufacturing for our cell therapy product candidates, are conducted at our internally-controlled facility at CCN. The facility, which includes process development laboratories and a cGMP manufacturing facility, is designed and equipped to enable simultaneous cGMP processes and to produce a range of cell therapy products for human use in clinical trials as well as at a scale suitable for commercial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process development and manufacturing are designed to address the complexity of manufacturing cell-based therapies with a specific focus on the reproducibility and scale of the manufacturing process. To this end each of our manufacturing processes contains predefined steps that are controlled by a specific set of control tests that allow us to follow up the progression of production according to the manufacturing plan. We implement a variety of 2-dimensional and 3-dimensional culture conditions to address the specific requirements of our pre-defined differentiation processes of the pluripotent cell into a functional cell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obtain key materials required for the manufacture of our cell therapy product candidates from third-party manufacturers and suppliers, which include, in some instances, sole source manufacturers and suppliers. We do not currently have long-term commitments or supply agreements in place to obtain certain key materials used in the manufacture of our cell therapy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Licensed Technology and Product Development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obtained the right to use various technologies that we believe have great potential in our product development efforts, and that may be useful to other companies that are engaged in the research and development of products for human therapeutic and diagnostic use.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Amended and Restated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2017, CCN entered into a Second Amended and Restated License Agreement (the “Hadasit License Agreement”) with Hadasit, pursuant to which Hadasit granted CCN an exclusive, worldwide, royalty bearing license (with the right to grant sublicenses) in its intellectual property portfolio of materials and technology related to human stem cell derived (i) photoreceptor cells and (ii) retinal pigment epithelial cells (collectively, the “Licensed IP”), to use, commercialize and exploit any part thereof, in any manner whatsoever in the fields of the development and exploitation of (i) human stem cell derived photoreceptor cells, solely for use in cell therapy for the diagnosis, amelioration, prevention and treatment of eye disorders (the "Photoreceptor Field"), and (ii) human stem cell derived retinal pigment epithelial cells, solely for use in cell therapy for the diagnosis, amelioration, prevention and treatment of eye disorders. The development and exploitation of human stem cell derived photoreceptor cells (“PR Development Program”) is governed by a Research Agreement (“PR Research Agreement”) made part of and attached to the Hadasit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consideration for the Licensed IP, CCN paid a one time lump sum payment and will pay a royalty in the low single digits of net sales from sales of Licensed IP by any invoicing entity, and a low double digit percent of sublicensing receipts. In addition, CCN pays Hadasit an annual minimal non-refundable royalty.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further agreed to pay Hadasit non-refundable milestone payments upon the recruitment of the first patient for the first Phase IIB clinical trial, upon the enrollment of the first patient in the first Phase III clinical trials, upon delivery of the report for the first Phase III clinical trials, upon the receipt of an NDA or marketing approval in the European Union (“EU”), whichever is the first to occur, and upon the first commercial sale in the United States or EU, whichever is the first to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Hadasit License Agreement was amended on November 30, 2017 (“First Amendment”) to update the original list of patent applications and issued patents for Licensed IP, and provide for reimbursement of certain costs associated with a patent not originally listed in the Hadasit License Agreement to CCN. The Hadasit License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Agreement was amended on December 1, 2019 to replace PR Research Agreement with a new PR Research Agreement (“New PR Research Agreement”) which included provisions with respect to the ownership of research results and intellectual property. The Hadasit License Agreement was further amended on December 17, 2021 by a letter agreement pursuant to which CCN is obligated to pay a maximum of 21.5% of any milestone payments Lineage receives under the Roche Agreement (subject to certain reductions, including for costs related to Lineage’s performance obligations under the Roche Agreement) and up to 50% of all royalty payments (subject to a maximum payment of 5% of net sales of products), Lineage receives under the Roche Agreement. We removed the Photoreceptor Field from the scope of the Hadasit License Agreement, in April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Hadasit License Agreement terminates upon the expiration of CCN’s obligation to pay royalties for all licensed products, unless earlier terminated. In addition, the Hadasit License Agreement may be terminated by (i) Hadasit if, among other reasons, CCN fails to continue the clinical development of the Licensed IP or fails to take actions to commercialize or sell the Licensed IP over any consecutive 12 month period, and (ii) by either party for (a) a material breach which remains uncured following a cure period, or (b) the granting of a winding-up order in respect of the other party, or upon an order being granted against the other party for the appointment of a receiver or a liquidator in respect of a substantial portion of such other party’s assets. The Hadasit License Agreement also contains mutual confidentiality obligations of CCN and Hadasit, and indemnification obligations of CCN.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WARF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rights to certain U.S. and international issued patents, pending patent applications, and stem cell lines with the Wisconsin Alumni Research Foundation (“WARF”) under a Commercial License and Option Agreement entered into between Lineage and WARF in January 2008 (the “2008 WARF Agreement”) and a Non-Exclusive License Agreement entered into between Asterias and WARF in October 2013 (the “2013 WARF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2008 WARF Agreement and the 2013 WARF Agreement, we have a worldwide non-exclusive license under certain WARF patents and WARF-owned primate (including human) stem cell lines for use in internal research, and to make, use and sell products that are used as research tools and products that are discovered or developed through our internal research using such patents and stem cell lines. We paid upfront license fees and have agreed to additional payments upon the attainment of specified clinical development milestones, royalties on sales of commercialized products, and, subject to certain exclusions, a percentage of any payments that we may receive from any sublicenses that we may grant to use the licensed patents or stem cell 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2008 WARF Agreement will expire on the date of the last to expire licensed patent and the 2013 WARF Agreement will continue with respect to licensed cell lines unless terminated by a party. We may terminate either or both of the 2008 and 2013 WARF Agreements at any time with prior written notice, and WARF may terminate the WARF Agreements only upon our breach. We have agreed to indemnify WARF and certain other designated affiliated entities from liability arising out of or relating to the death or injury of any person or damage to property due to the sale, marketing, use or manufacture of products that are covered by the licensed patents, licensed stem cell lines or inventions or materials developed or derived from the licensed patents or stem cell lines.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authorities at the federal, state and local level, and in other countries, extensively regulate among other things, the development, testing, manufacture, quality, approval, safety, efficacy, distribution, labeling, packaging, storage, record keeping, monitoring, reporting, marketing, import/export and promotion of drugs, biologics, and medical devices. Authorities also heavily regulate many of these activities for human cells, tissues, and cellular and tissue-based products (“HCT/Ps”).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and Foreign Regulation of Therapeutic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and foreign regulatory authorities will regulate our proposed products as drugs, biologics or medical devices, depending upon such factors as the use to which the product will be put, the chemical composition, and the interaction of the product with the human body. In the United States, the FDA regulates drugs, biologics and medical devices, among other products, under the Federal Food, Drug and Cosmetic Act (“FDCA”), the Public Health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 (“PHSA”), and implementing regulations. Under this regulatory structure, establishments that manufacture HCT/Ps are subject to many regulations, including, but not limited to, registration and listing requirements and current good tissue practices. Certain proposed cell therapy products will be reviewed by the FDA staff in its Center for Biologics Evaluation and Research Office of Therapeutic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drug and biologic products will be subject to rigorous FDA review and approval procedures before they may be marketed in the United States. After testing in animals to evaluate the potential efficacy and safety of the product candidate, an IND submission must be made to the FDA to obtain authorization for human testing. Extensive clinical testing, which is generally done in three phases, must then be undertaken to demonstrate substantial evidence of safety and efficacy of each product in humans. Each clinical trial is conducted under the auspices of an independent Institutional Review Board (“IRB”). The IRB will consider, among other things, ethical factors, the safety of human subjects, and the possible liability of the institution.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Phase 1 clinical trials are conducted in a small number of healthy volunteers or volunteers with the target disease or condition to assess safety and dosage, and to identify adverse effects. Phase 2 clinical trials are conducted with groups of patients afflicted with the target disease or condition in order to determine preliminary efficacy, optimal dosages and expanded evidence of safety. In some cases, an initial trial is conducted in diseased patients to assess both preliminary safety and preliminary efficacy, in which case it is referred to as a Phase 1/2 clinical trial. Phase 3 clinical trials are large-scale, multicenter, comparative trials and are conducted with patients afflicted with the target disease or condition in order to monitor adverse effects and provide enough data to demonstrate the efficacy and safety required by the FDA. The FDA closely monitors the progress of each of the three phases of clinical testing and may, at its discretion, re-evaluate, alter, suspend or terminate the clinical trial based upon the data which have been accumulated to that point and FDA's assessment of the risk/benefit ratio to the intended patient population. The clinical trial sponsor is required to report adverse events to the FDA and IRB in accordance with FDA laws and regulations. Monitoring of all aspects of the trial to minimize risks is a continuing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action can be taken to market any therapeutic product in the U.S. until a New Drug Application (“NDA”) or Biologics License Application (“BLA”), as applicable, has been approved by the FDA. Submission of the application is not a guarantee that the FDA will find it complete and accept it for filing. If an application is accepted for filing, following the FDA’s review of safety and efficacy data compiled from clinical trials, the FDA may grant marketing approval, or deny the application by way of a complete response letter if it determines that the application does not provide an adequate basis for approval. FDA regulations also restrict the export of therapeutic products for clinical use prior to FDA approval. Before approving an NDA or BLA, the FDA will inspect the facilities at which the product is manufactured or perform an establishment file review of the site. The FDA will not approve the product unless it determines that the manufacturing processes and facilities are in compliance with the requirements of current Good Manufacturing Practices (“cGMPs”) and adequate to assure consistent production of the product within required specifications including good tissue practices (“GTPs”) to the extent applicable. FDA's cGMP regulations detail minimum requirements for the methods, facilities, and controls used in manufacturing, processing, and packing of a drug product. FDA's GTP regulations and guidance documents govern the methods used in, and the facilities and controls used for, the manufacture of HCT/Ps. The primary intent of the GTP requirements is to ensure that cell and tissue-based products are manufactured in a manner designed to prevent the introduction, transmission and spread of communicable disease. FDA regulations also require when applicable, evaluation of donors through screening and testing. To maintain compliance with cGMPs, GTPs, and good clinical practices ("GCPs"), an applicant must incur significant expenditure of time, money and effort in areas including, but not limited to, training, record keeping,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although there are clinical trials of pluripotent stem cell-derived therapeutic products ongoing, we do not believe that the FDA has granted marketing approval to any pluripotent stem cell-based therapeutic products, and it is possible that the FDA or foreign regulatory agencies may subject our product candidates to additional or more stringent review than drugs or biologics derived from other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offers several programs to expedite development of products that treat serious or life-threatening illnesses and that provide meaningful therapeutic benefits to patients over existing treatments. A drug is eligible for designation as a Regenerative Medicine Advanced Therapy (“RMAT”) if: the drug is a regenerative medicine therapy, which is defined as a cell therapy, therapeutic tissue engineering product, human cell and tissue product or any combination product using such therapies or products, except for those regulated solely under Section 361 of the Public Health Service Act and part 1271 of Title 21, Code of Federal Regulations;; the drug is intended to treat,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modify, reverse or cure a serious or life-threatening disease or condition; and preliminary clinical evidence indicates that the drug has the potential to address unmet medical needs for such disease or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is a separate process from seeking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may be entitled to orphan drug exclusivity, which means that the FDA may not approve any other applications, including a full NDA or BLA, to market the same drug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fee. 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Combination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Combination products are defined by the FDA to include products comprised of two or more regulated components or parts such as a biologic and a device. Combination products may be reviewed in a single application or in separate applications for the constituent parts. When regulated independently, drugs, biologics and devices each have their own regulatory requirements. However, the regulatory requirements for a combination product comprised of a biologic administered with a delivery device can be more complex because, in addition to the individual regulatory requirements for each component, additional combination product regulatory requirements may apply. The Office of Combination Products at the FDA coordinates the review of such products and determines the primary mode of action of a combination product. The definition and regulatory requirements for combination products may differ significantly among countries in which we may seek approval of our product candidates.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regulates the manufacturing process of pharmaceutical products, HCT/Ps, and medical devices, requiring that they be produced in compliance with cGMP and GTP. See “Manufacturing", above. The FDA regulates and inspects equipment, facilities, laboratories and processes used in the manufacturing and testing of products prior to providing approval to market products. If, after receiving approval from the FDA, a material change is made to manufacturing equipment or to the location or manufacturing process, additional regulatory review may be required. The FDA also conducts regular, periodic visits to re-inspect the equipment, facilities, laboratories and processes of manufacturers following an initial approval. If, as a result of a post-approval inspection, the FDA determines that equipment, facilities, laboratories or processes do not comply with applicable FDA regulations and conditions of product approval, the FDA may seek civil, criminal or administrative sanctions and/or remedies against the manufacturer, including, but not limited to, suspension of manufacturing operations. Issues pertaining to manufacturing equipment, facilities or processes may also delay the approval of new products undergoing FDA review.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FDA Regulation of Advertising and Product Promotion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also regulates the content of advertisements used to market pharmaceutical and biologic products. Claims made in advertisements concerning the safety and efficacy of a product, or any advantages of a product 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another product, must be supported by clinical data filed as part of an NDA, a BLA, or an amendment to an NDA or a BLA, and must be consistent with the FDA-approved labeling and dosage information for that product. Additionally, the FDCA prohibits manufacturers of pharmaceutical and/or biologic products from making any claims, implicit or explicit, that are "false or misleading in any particular".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Pharmaceutical and biologic products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Foreign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pharmaceutical products outside the U.S. are subject to foreign regulatory requirements that vary widely from country to country. Even if FDA approval has been obtained, approval of a product by comparable regulatory authorities of foreign countries must be obtained prior to the commencement of marketing the product in those countries. The time required to obtain such approval may be longer or shorter than that required for FDA approval.</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Funding and State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July 7, 2009, the National Institute of Health ("NIH") adopted guidelines on the use of hES cells in federally funded research. The central focus of the guidelines is to assure that hES cells used in federally funded research are derived from human embryos that were created for reproductive purposes, are no longer needed for this purpose, and are voluntarily donated for research purposes with the informed written consent of the donors. hES cells that were not derived in compliance with the guidelines are not eligible for use in federally funded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State of California has adopted legislation and regulations that require institutions that conduct stem cell research to notify, and in certain cases obtain approval from, a Stem Cell Research Oversight Committee (“SCRO Committee”) before conducting the research. Under certain California regulations, all hES cell lines used in our research must be acceptably derived. California regulations further require certain records to be maintained with respect to stem cell research and the materials used. Lineage programs that involve the use of stem cells have been reviewed by a SCRO Committee to confirm compliance with federal and state guidelines.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hES cell lines that we use are all on the NIH registry of lines that have been reviewed and meet standards for federal funding grants. All of our research programs utilize stem cells from established and well-characterized cell lines and which are capable of self-renewal and expansion through normal cellular division (mitosis). Our research programs do not require new tissue or cells from donors of any kind.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 Insurance Portability and Accountability Act and Other Health Information 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Health Insurance Portability and Accountability Act (“HIPAA”), as amended by the Health Information Technology for Economic and Clinical Health Act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with respect to protecting the privacy, security, and transmission of protected health information. HIPAA also regulates standardization of data content, codes and formats used in healthcare transactions and standardization of identifiers for covered health plans and providers. Penalties for violations of HIPAA regulations include civil and criminal penalties.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 In addition, certain state and foreign laws also govern the privacy and security of health information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circumstances, many of which differ from each other in significant ways and often are not preempted by HIPAA, thus complicating compliance efforts.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Privacy and Data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our business, we may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Accordingly, we are, or may become, subject to numerous data privacy and security requirements related to data privacy, security, and protection under federal, state, local, and foreign laws, regulations, guidance, and industry standards, many of which place restrictions on the Company's ability to transfer, access and use personal data across its business. Compliance with such requirements increases the cost and complexity of doing business and non-compliance may result in, among other penalties and sanctions, substantial monetary fines. The landscape of data privacy laws is evolving, with increasingly stringent regulatory frameworks related to personal data processing, which increase compliance obligations and exposure for noncompliance. In some jurisdictions violations may subject us to fines. For example, under the EU’s General Data Protection Regulation 2016/679 (“EU GDPR”), government regulators may impose temporary or definitive bans on data processing, as well as fines of up to 20 million euros or 4% of a company’s annual global revenue, whichever is greater. Further, some laws allow individuals to initiate litigation related to processing of their personal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to which we may be subject include privacy-specific laws at a state level such as the California Consumer Privacy Act of 2018 (“CCPA”). Other countries in which we operate also have general privacy obligations, including Israel’s Protection of Privacy Law 5741-1981, the EU GDPR, and the UK’s similar privacy law (“UK GDPR”). These non-US laws apply to processing of personal data of residents, and may apply to some of our activities. Some of our uses of personal information may be subject to specific privacy laws, such as the Telephone Consumer Protection Act or the CAN-SPAM Act. Obligations under these privacy laws may include data minimization, notification, consent, contractual provisions with third parties, restrictions on transfers from one country to another (such as restrictions under EU GDPR and UK GDPR of transfers of personal data to the US unless certain provisions have been met), and record keeping obligations. We are also subject to a complex patchwork of data security and breach notification laws, which exist at a state level in the US (in addition to obligations under HIPAA, discussed above), and also in laws outside of the US, such as GDPR and UK GDPR. Obligations under these laws may include notification in the event of a data breach; limiting personal data processing to only what is necessary for specified, explicit, and legitimate purposes; implementing and maintaining technical and organizational safeguards for personal data. In addition to privacy and data security specific legislation, there are also enforcements brought under unfair and deceptive trade practice laws, such as Section V of the FTC Act. Regulators often issue guidance to assist companies, which guidance is frequently updated, and these guidance are relied on by enforcement bodies and courts.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growing trend towards required public disclosure of clinical trial data in the EU which adds to the complexity of obligations relating to processing health data from clinical trials. Failing to comply with these obligations could lead to government enforcement actions and significant penalties against the Company, harm to its reputation, and adversely impact its business and operating results. The uncertainty regarding the interplay between different regulatory frameworks further adds to the complexity that the Company faces with regard to data protection regulation. In addition, Israel’s Protection of Privacy Law 5741-1981 and the regulations promulgated thereunder impose certain obligations with respect to the manner personal data is processed, and government regulators may issue fines or sanctions for non-compliance.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circumstances we may transfer personal information of EU individuals to the US. Often we rely on standard contractual clauses. These have been questioned by privacy advocates, which scrutiny has grown under the new US presidential administration, and their sufficiency be subject to legal review. In addition, Switzerland and the UK similarly restrict personal data transfers outside of those jurisdictions to countries, such as the United States, that do not provide an adequate level of personal data protection, and certain countries outside Europe (e.g., Israel) have also passed or are considering laws requiring local data residency or otherwise impeding the transfer of personal data across borders.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business practices in the healthcare industry have come under increased scrutiny, particularly in the U.S., by government agencies (e.g., the U.S. Federal Trade Commission (the “FTC”) and the U.S. Department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 and Human Services (“HHS”)) and state attorneys general, which continue to stress the intersection of health and privacy as a compliance and enforcement priority. Resulting investigations and prosecutions carry the risk of significant civil and criminal penalties. Of note is the increased enforcement activity by data protection authorities in various jurisdictions, particularly in the EU, where significant fines have been levied on companies for data breaches, violations of privacy requirements, and unlawful cross-border data transfers. In the U.S., the FTC has stepped up enforcement of data privacy with several significant settlements (including settlements concerning the downstream sharing of personal information and use and disclosure of personal health data) and there have been a material increase in class-action lawsuits linked to the collection and use of biometric data and use of tracking technologies.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Federal and State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variety of federal and state laws prohibit fraud and abuse. These laws are interpreted broadly and enforced aggressively by various state and federal agencies, including the Centers for Medicare &amp; Medicaid Services (“CMS”), the Department of Justice, the Office of Inspector General for the HHS, and various state agencies. In addition, the Medicare and Medicaid programs increasingly use a variety of contractors to review claims data and to identify improper payments as well as fraud and abuse. These contractors include Recovery Audit Contractors, Medicaid Integrity Contractors and Zone Program Integrity Contractors. In addition, CMS conducts Comprehensive Error Rate Testing audits, the purpose of which is to detect improper Medicare payments. Any overpayments identified must be repaid unless a favorable decision is obtained on appeal. In some cases, these overpayments can be used as the basis for an extrapolation, by which the error rate is applied to a larger universe of claims, and which can result in even higher repayments.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prohibits, among other things, knowingly and willfully offering, paying, soliciting, receiving, or providing remuneration, directly or indirectly, to induce or in return for either the referral of an individual, or the furnishing, recommending, or arranging for the purchase, lease or order of any healthcare item or service reimbursable, in whole or in part, under a federal healthcare program. The definition of “remuneration” has been broadly interpreted to include anything of value, including gifts, discounts, credit arrangements, payments of cash, ownership interests and providing anything at less than its fair market value. Recognizing that the federal Anti- Kickback Statute is broad and may prohibit certain common activities within the healthcare industry, the Office of Inspector General for HHS has issued a series of statutory exceptions and regulatory “safe harbors.” However, these exceptions and safe harbors are drawn narrowly and require strict compliance in order to offer protection from prosecution under the federal Anti-Kickback Statute. Although payment and business practices that meet the requirements of a safe harbor are not treated as offenses under the federal Anti-Kickback Statute, the failure of a transaction or arrangement to fit within a specific safe harbor does not necessarily mean that the transaction or arrangement is illegal or that prosecution under the federal Anti-Kickback Statute will be pursued. However, conduct and business arrangements that do not fully satisfy all requirements of an applicable safe harbor may result in increased scrutiny by government enforcement authorities and would be evaluated on a case-by-case basis based on a cumulative review of their facts and circumstances. Additionally, the Patient Protection and Affordable Care Act, as amended by the Healthcare and Education Reconciliation Act (collectively,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and criminal false claims laws, including the federal False Claims Act, which can be enforced by private citizens on behalf of the government, through civil whistleblower or qui tam actions, and civil monetary penalty laws, which prohibit, among other things, individuals or entities from knowingly presenting, or causing to be presented, claims for payment from Medicare, Medicaid, or other third-party payors that are false or fraudulent. Pharmaceutical and other healthcare companies have been prosecuted under these laws for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HIPAA also created new federal crimes, including healthcare fraud and false statements relating to healthcare matters. The healthcare fraud statute prohibits knowingly and willfully executing a scheme to defraud any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states have laws similar to the federal laws described above and the state laws may be broader in scope and may apply regardless of payor, such as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significant civil, criminal and administrative penalties, including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generally rely on third-party payors to reimburse part or all of the costs associated with medical products. Accordingly, market acceptance of medical products can depend on the extent to which third-party coverage and reimbursement is available from government health administration authorities, private healthcare insurers and other healthcare funding organizations.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Pharmaceutical companies may be required to provide specified rebates or discounts on the products it sells to certain government funded programs, including Medicare and Medicaid, and those rebates or discounts have increased over time. The ACA increased many of these mandatory discounts and rebates required and imposed a new branded prescription pharmaceutical manufacturers and importers fee payable each year by certain pharmaceutical companies and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of the United States, the proposed pricing for a drug must be approved before it may be lawfully marketed. The requirements governing drug pricing vary widely from country to country. For example, the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Historically, products launched in the EU do not follow price structures of the United States and generally tend to be significantly lower.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For example, legislation enacted in 2017, informally known as the Tax Cuts and Jobs Act (the “2017 Tax Act”), among other things, removes penalties for not complying with ACA’s individual mandate to carry health insurance. On June 17, 2021, the U.S. Supreme Court dismissed a challenge on procedural grounds that argued the ACA is unconstitutional in its entirety because the individual mandate was repealed by Congress. Thus, the ACA will remain in effect in its current form. In January 2025, the new U.S. presidential administration issued Executive Order 14148, which revoked Executed Order 14009 issued by the prior U.S. presidential administration in January 2021, which had initiated a special enrollment period for purposes of obtaining health insurance coverage through the ACA marketplace. Considerable uncertainty exists regarding how federal government policy and budget decisions will unfold with respect to healthcare reform under the new U.S. presidential administration. It is possible that the ACA will be subject to judicial or Congressional challenges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includes reductions to Medicare payments to providers of 2% per fiscal year, which went into effect on April 1, 2013 and, due to subsequent legislative amendments to the statute, will remain in effect through 2031,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considering additional health reform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there has recently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on July 24, 2020 and September 13,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on November 20, 2020, the HHS finalized a regulation removing safe harbor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was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on September 9,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and considerable uncertainty exists regarding how federal government policy and budget decisions will unfold with respect to drug pricing under the new U.S. presidential 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the Inflation Reduction Act of 2022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Inflation Reduction Act of 2022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Inflation Reduction Act of 2022 permits the Secretary of the HHS to implement many of these provisions through guidance, as opposed to regulation, for the initial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Major Sources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major sources of revenues, as a percentage of total revenues, that were recognized during the years ended December 31, 2024 and 2023:</w:t>
      </w:r>
    </w:p>
    <w:p>
      <w:pPr>
        <w:pStyle w:val="TextBody"/>
        <w:bidi w:val="0"/>
        <w:jc w:val="left"/>
        <w:rPr/>
      </w:pPr>
      <w:r>
        <w:rPr/>
        <w:t> </w:t>
      </w:r>
    </w:p>
    <w:tbl>
      <w:tblPr>
        <w:tblW w:w="5760" w:type="dxa"/>
        <w:jc w:val="left"/>
        <w:tblInd w:w="0" w:type="dxa"/>
        <w:tblLayout w:type="fixed"/>
        <w:tblCellMar>
          <w:top w:w="28" w:type="dxa"/>
          <w:left w:w="28" w:type="dxa"/>
          <w:bottom w:w="28" w:type="dxa"/>
          <w:right w:w="28" w:type="dxa"/>
        </w:tblCellMar>
      </w:tblPr>
      <w:tblGrid>
        <w:gridCol w:w="3236"/>
        <w:gridCol w:w="146"/>
        <w:gridCol w:w="174"/>
        <w:gridCol w:w="558"/>
        <w:gridCol w:w="324"/>
        <w:gridCol w:w="174"/>
        <w:gridCol w:w="174"/>
        <w:gridCol w:w="558"/>
        <w:gridCol w:w="4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Sources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collaboration revenues for the years ended December 31, 2024 and 2023 are related primarily to the $50.0 million upfront payment from Roche under the Roche Agreement. Our royalties, license and other revenues for the years ended December 31, 2024 and 2023 represent cash flows generated under patent families that Asterias acquired from Geron and the Services Agreement with Genentech. See Note 3 (Revenue) and Note 13 (Commitments and Contingencies) to our consolidated financial statements included in this report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 of our revenue for the years ended December 31, 2024 or 2023 were generated outside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established marketing, sales or distribution infrastructure or capabilities. In order to commercialize any of our product candidates if approved for commercial sale, we must either establish a sales and marketing organization with technical expertise and supporting distribution and compliance capabilities or collaborate with third-parties that have sales and marketing experience. As we move our product candidates through development toward regulatory approval, we intend to evaluate options for each product candidate’s commercialization strategy. These options include building our own sales force and other commercial infrastructure, entering into strategic marketing collaborations with third parties, out-licensing the product to other pharmaceutical or biotechnology companies, and combinations of these strategies.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cell therapy industry is characterized by rapid innovation, intense and dynamic competition with a strong emphasis on proprietary products. While we believe that our technology, manufacturing capabilities, scientific knowledge, and experience in the field of cell therapy provide us with competitive advantages, we face potential competition from many different sources, including major pharmaceutical and biotechnology companies with substantially greater financial and other resources than we have,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combinations thereof, that may become available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mentioned above, some of our competitors have substantially greater financial and other resources than we have, such as larger research and development staff and well-established marketing and salesforces, or may operate in jurisdictions with lower standards of evidence to bring products to market. For example, we are aware that some of our competitors, including Abbvie, Novo Nordisk A/S, Bayer AG, Regeneron Pharmaceuticals, Santen Pharmaceuticals, Sana Biotechnology Inc., jCyte, Inc., Astellas Pharma Inc., and Apellis Pharmaceuticals Inc., may be conducting clinical trials for therapies that could compete with our cell therapy programs.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was incorporated on November 30, 1990 in the State of California. Our common shares trade on the NYSE American and the Tel Aviv Stock Exchange under the symbol “LCTX.” Our principal executive offices are at 2173 Salk Avenue, Suite 200, Carlsbad, CA 92008, USA, and our phone number at that address is (442) 287-8990. Our website address is www.lineagecell.com. The information on, or that can be accessed through our website, is not part of this report. We routinely use our website as a means of disclosing material non-public information and for complying with our disclosure obligations under Regulation FD. We also make available, free of charge through our website, our most recent annual report on Form 10-K, quarterly reports on Form 10-Q, current reports on Form 8-K and any amendments to those reports as soon as reasonably practicable after the reports are electronically filed with or furnished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all the risk factors described below, as well as the other information in this report, when evaluating our business and before deciding whether to purchase, hold or sell our common shares. Each of these risk factors, as well as additional risks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Business Operations and Capital Requirements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are dependent on our third-party collaboration with Roche to develop and commercialize OpRegen. If Roche is not successful in developing and commercializing OpRegen and/or Roche terminates the collaboration, we will lose a significant source of potential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a collaboration and license agreement with Roche, pursuant to which we license to Roche rights to develop and commercialize our retinal pigment epithelium cell therapies, including OpRegen (the “Licensed Products”), for the treatment of ocular disorders, including age-related macular degeneration with geographic atrophy. Roche is obligated to pay us milestone payments upon the achievement of specified developmental, regulatory and commercialization milestones. In addition, Roche is obligated to pay us royalties upon sales of the Licensed Products, if any. All regulatory and commercial milestone payments and royalty payments are subject to the existence of certain intellectual property rights that cover OpRegen at the time such payments would otherwise become due, and the royalties on net sales of OpRegen are subject to financial offsets based on the existence of competing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numerous risks associated with the Roche agreement, including Roche having sole control over the clinical development and commercialization of any Licensed Products developed under the agreement. The Roche agreement also prevents us from developing or commercializing retinal pigment epithelium cell therapies for the treatment of ocular disorders on our own or with any third party. Our collaboration with Roche involves risks that are different from the risks associated with independently advancing product candidates, including that Roche may have or develop economic or business interests that are inconsistent with ours; take actions contrary to our requests or objectives; take actions that reduce our return on investment for this collaboration; or take actions that harm our reputation.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Roche’s degree of control of the collaboration, clinical development and commercialization efforts may impact the payment amounts that we receive under the Roche agreement. For example, Roche may suspend development of OpRegen or other product candidates covered by the Roche agreement or decide not to pursue commercialization of OpRegen or such other product candidates at all, or it may agree to pay royalties to third parties or adopt a pricing model that reduces the amount of royalties we might otherwise expect. For example, in 2024, Roche announced that it decided to halt the development of some of its programs on the basis that such programs did not provide sufficient grounds for Roche to continue investing in the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expecting Roche to develop and commercialize the Licensed Products, and if Roche is not able to develop and commercialize the Licensed Products, determines not to continue to pursue development and commercialization of the Licensed Products, or determines to terminate the collaboration at any time in its sole discretion, which it has the right to do, we will not receive any future milestone or royalty payments under the agreement which would harm our business, business prospects, financial condition and results of operations. Even if Roche develops and commercializes the Licensed Products, Roche may not do so on the timelines we expect and the Licensed Products may not be commercially successful, each of which could harm our business, business prospects,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Roche may determine not to pursue development and commercialization and/or to terminate the collaboration, in its sole discretion,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development, manufacture or clinical supply of OpRegen (see the risk factor titled, “The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clinical development delays or impair our ability, or that of a strategic collaborator, to obtain approval for or commercialize our product candidates,” below);</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conclude that clinical supply of OpRegen does not meet its internal standards;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believe that data generated in clinical trials for OpRegen may be negative, inconclusive, or do not otherwise demonstrate adequate safety, efficacy or clinical benefit to warrant further development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Roche may conclude that the commercial landscape in GA secondary to AMD has significantly changed with the FDA’s approval in 2023 of Apellis Pharmaceuticals, Inc.’s Syfovre® (pegcetacoplan injection) and Iveric bio, Inc.’s IZERVAY (avacincaptad pegol intravitreal solution);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not dedicate the resources necessary to carry OpRegen through clinical development, regulatory approval,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conclude that the commercial potential of OpRegen does not meet its internal thresholds or yield a timely return on its investment in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choose not to develop and commercialize OpRegen in certain, or any, markets or for one or more indications, if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change the focus of its development or commercialization efforts or prioritize other programs and, accordingly, reduce the efforts and resources allocated to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Roche may be unable to obtain regulatory clearances or approvals to continue clinical development or commercialization of OpRegen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to develop a formulation and/or manufacturing process for OpRegen that Roche believes is commercially viable in a timely manner, or at all;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or impairment of intellectual property rights related to OpRegen.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Roche terminates the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no longer have the right to receive any milestone payments or royalties thereunder;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development of OpRegen, if any, would be significantly delayed or terminated;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bear all risks and costs related to any further clinical development, manufacturing, regulatory approval and commercialization OpRegen,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might determine that the commercial potential of OpRegen does not warrant further development of OpRegen;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would need to raise additional capital if we were to choose to pursue OpRegen development on our own, or we would need to establish alternative collaborations with third parties, which might not be possible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were to choose to pursue OpRegen development independently, we would need to work collaboratively with Roche to transfer the OpRegen program back to us, and such a transfer might take significant amounts of time, would be resource intensive and costly, and might not be feasible;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may adversely affect the interest of other third parties in pursuing strategic collaborations relating to our product candidates, including OpRegen, or technology or the terms of any such potential collaboration.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loss or termination of rights under the collaboration will cause us to lose a significant source of potential revenue and could significantly delay or result in the discontinuation of development of OpRegen or significantly diminish the commercial potential of OpRegen, which would have a material and adverse effect on our company, financial condition and results of operations and could cause the market price of our common shares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are required under the Roche agreement to transfer certain manufacturing process know-how to Roche to facilitate manufacture of OpRegen and other potential Licensed Products for clinical trials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commercialization. Transferring manufacturing testing and processes and know-how is complex and involves review and incorporation of both documented and undocumented processes that may have evolved over time. We have never completed such transfer and we can give no assurances that we will be successful in doing so. In addition, transferring production to different facilities may require utilization of new or different processes to meet the specific requirements of a given facility. We and Roche will need to conduct significant development work to transfer these processes. In addition, we may be required to demonstrate the comparability of the cells generated by Roche with cells previously produced and used in testing. Any failure or delay in the successful transfer of manufacturing process know-how to Roche or the inability of Roche to manufacture comparable cells could halt or delay the continued development of OpRegen and other potential Licensed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incurred operating losses since inception, and we do not know if or when we will attain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total operating losses for the fiscal years ended December 31, 2024 and 2023 were $21.5 million and $24.7 million, respectively, and we had an accumulated deficit of $403.5 million as of December 31, 2024. Since inception, we have incurred significant operating losses and we expect to continue to incur significant operating losses for the foreseeable future. Unless and until we or a third-party collaborator succeed in developing, obtaining regulatory approval for, and generating substantial revenue from sales of one or more of our product candidates, we do not expect to become profitable. All of our product candidates will require substantial additional development time and resources before we or any collaborator would be able to apply for or receive any regulatory approval to market and sell a product, and the timeline for and outcome of these development efforts is highly uncertain. We anticipate our operating losses will increase substantially as we continue our development of, seek regulatory approval for and potentially commercialize our product candidates and seek to identify, assess, acquire, in-license or develop additional product candidates. We may never achieve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and our collaborators to be successful in a range of challenging activities, including completing clinical and nonclinical studies of our product candidates, obtaining regulatory approval for these product candidates, manufacturing, marketing, and selling any approved products, and satisfying any post-marketing regulatory requirements. We are attempting to develop new technology and therapeutic products. Cell therapy is a nascent field with limited regulatory approval precedent, which makes it difficult to predict the time and cost of product candidate development and seeking regulatory approval. The regulatory pathway with the FDA and comparable foreign regulatory authorities may be more complex, time-consuming, and unpredictable relative to more well-known therapeutic approaches. We and our collaborators may never succeed in these activities and, even if we do, may never generate revenues that are significant enough for us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investigational allogeneic cell therapies represent a novel approach to the treatment of serious medical conditions, which gives rise to significant challenges. We or our collaborators may not succeed in developing any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a pipeline of allogeneic cell therapy product candidates with cells that we create by applying proprietary differentiation protocols to established pluripotent cell lines and which must be transplanted into patients to replace or support cells that are dysfunctional or absent due to degenerative disease or traumatic injury. While there are over 200 cell types in the human body, not all of these cell types will represent product candidates. Allogeneic cell therapy is still an emerging area of therapeutic medical intervention, and as such, it is difficult to accurately predict the type and scope of challenges we and our collaborators may face during the identification and development of our product candidates. We and our collaborators face significant challenges and uncertainties associated with the identification, manufacture, preclinical and clinical development, regulatory approval pathway, and third-party payor coverage and reimbursement of our product candidates required for successful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candidates to our internal standards and those of our collaborators, as applicable, as well as to applicable regulatory specifications, in a timely manner, and on the scale necessary to support larger-scale clinical trials, and, if approved,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our cell manufacturing processes, which could affect our ability, or the ability of our collaborators, as applicable, to produce clinical trial material and, if approved, commercial product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designing and completing clinical trials of our product candidates that will demonstrate their safe and effective use to treat the targeted disease or other medical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of key components required for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formulations of our cells that reduce or eliminate dose preparation or other complexities of handling and administration of our product candidates at the point of care;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developing and validating delivery systems and methods for successful surgical transplantation of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regulatory approval, as the regulatory frameworks for approval of potential allogeneic cell therapies in and outside of the U.S. are evolving;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sales, marketing, and compliance capabilities to gain acceptance of a novel therapy,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sufficient product coverage and reimbursement from third-party payors such as government healthcare administration authorities and private healthcare insurers for any approved product to enable the product to compete in the marketplace and become commercially profitable;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intellectual property protection for our product candidates, the operations used to manufacture them and the methods for using them in order to prevent third parties from making, using, selling, offering to sell or importing our product candidates or otherwise exploiting our cell manufacturing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successful in addressing key challenges in development and commercialization of our cell therapy product candidates, or if our product candidates and technologies do not prove to be safe or effective for the indications for which they are being developed, our business prospects and revenue opportunities will be materially limited.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will continue to spend a substantial amount of our capital on research and development, but we might not succeed in identifying or developing product candidates that are safe and effective for their target indications or commercially viable.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are costly, time consuming, and their results are uncertain. We incurred research and development expenses amounting to approximately $12.5 million and $15.7 million during the fiscal years ended December 31, 2024 and 2023, respectively, and we expect to continue to incur substantial research and development expenses. If we successfully identify and develop a new technology or product candidates, refinement of the new technology or product and definition of the practical applications and limitations of the technology or product may take years and require large sums of money. Clinical trials of new therapeutic products, particularly those products that are regulated as biologics, drugs, or devices, such as our product candidates, are very expensive and take years to complete. Only a small percentage of therapeutic product candidates that enter the development process ever receive marketing approval. Even with substantial spending on research and development of our product candidates, they might not prove to be safe or efficacious in the human medical applications for which they are being developed, or they may prove too expensive to manufacture or otherwise fail to gain sufficient market acceptance to be commercially viable.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will need to obtain substantial additional funding to complete the development and seek regulatory approval of our product candidates and to commercialize products approved for marketing, if any. If we are unable to obtain adequate capital when needed, we may delay, reduce, limit the pace of, suspend or discontinue our product and technology development programs or other operations, which could significantly harm our business and prospects and cause the market price of our common shares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cash, cash equivalents and marketable securities as of December 31, 2024 will be sufficient to fund our planned operations for at least twelve months after the issuance date of our consolidated financial statements included elsewhere in this report; however, these resources will not be sufficient to fund our product candidates through regulatory approval, and we will need to raise substantial additional capital to complete the development and seek regulatory approval of our product candidates and to commercialize products approved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if any. In addition, we may seek additional capital due to favorable market conditions or strategic considerations even if we believe we have sufficient funds for our planned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as we are able to generate sufficient revenues from product sales, royalties or license fees, if ever, we expect to fund our operations through equity offerings, debt financings or other third-party capital sources, including potentially new grants from governmental entities or strategic alliances, collaborations, licenses or other similar arrangements. However, additional capital may not be available to us when needed, on favorable terms, or at all, and any additional capital raised may not be sufficient to enable us to complete development or obtain regulatory approval of our product candidates or commercialize approved products, if any. Our past success in raising capital through equity offerings, strategic collaborations and grants from governmental entities should not provide any assurance that we will be successful in raising additional capital through any of those means when needed, or at all. We expect our ability to raise additional capital will depend not only on progress we and our collaborators make in developing our technologies and product candidates, but also on factors outside of our control that affect access to capital and conditions in the capital markets. A low trading volume, share price and market capitalization together with limited revenue and net losses, may make it difficult and expensive for us to raise additional capital through equity or debt financings. Our ability to obtain additional funds and the amount and type of financing available to us may be adversely impacted by unstable and unfavorable market conditions. Due to our significant operations in Israel, the ongoing Israeli regional conflict may also, directly or indirectly, adversely impact our ability to raise additional capital. An economic downturn, recession or recessionary concerns, potential for or actual U.S. government shutdowns, inflation, relatively high interest rates, public health emergencies, pandemics, geopolitical conflicts, terrorist attacks, global supply chain disruptions, natural or environmental disasters, strained relations between the U.S. and various other countries, social and political discord and unrest in the U.S. and various other countries can be expected to negatively impact financial markets. Volatility and deterioration in the financial markets and relatively high interest rates may make equity or debt financings more difficult, more costly or more dilutive and may increase competition for, or limit the availability of, funding from other third-party sources such as from strategic collaborations and grants from governmental and other entities. Our ability to obtain additional funds and the amount, type and terms of any potential financing may also be adversely affected by the performance of other companies perceived as comparable to us. For example, development setbacks or failures in cell therapies being developed by third parties could have a negative effect on potential investor or strategic collaborator sentiment for our technologies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elsewhere in this report, we issued warrants to purchase an aggregate of up to 41,447,372 of our common shares in connection with our November 2024 registered direct offering. Warrants to purchase up to 39,473,688 of our common shares have an exercise price of $0.91 per share and warrants to purchase up to 1,973,684 of our common shares have an exercise price of $0.95 per share, in each case, subject to customary adjustments. If the warrants are exercised in full on a cash basis, we would receive $37.8 million in gross proceeds. As of the filing date of this report, the trading price of our common shares is below the exercise prices of the warrants, and no assurances can be given that all or any portion of such warrants will be exercised, or if exercised, that they will be exercised on a cash basis. See also the risk factor below titled “The issuance of common shares upon exercise of warrants will cause immediate and substantial dilution to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raise capital when needed or on attractive terms, we may be forced to significantly delay, reduce, limit the pace of, suspend or discontinue some or all aspects of our product and technology development programs or other operations, fail to meet obligations under our in-license agreements and relinquish important rights, and forego opportunities to expand our pipeline, in which case, our ability to achieve our operational goals could be materially and adversely affected. In addition, if we do not have adequate capital, we may seek strategic alliances for research and development programs at an earlier stage than we would otherwise desire or on terms less favorable than might otherwise be available, or relinquish or license on unfavorable terms, our rights to technologies or future product candidates that we otherwise would seek to develop or commercialize ourselves, which could have a material adverse effect on our business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forecast of the period of time through which our financial resources will support our planned operations is based on a number of assumptions that may prove to be wrong or require adjustment as a result of business decisions, the risks, uncertainties other factors discussed elsewhere in this Risk Factors section or factors not presently known or material to us, and we may use our available financial resources sooner than we currently expect. Our future funding requirements will depend on many factors,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scope, progress and results of our ongoing and planned preclinical studies, clinical trials, and nonclinical activities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timing of licensing payments we may be required to make based on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and manufacturing requirements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decisions to initiate additional clinical trials, not to initiate any clinical trial or to terminate an existing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obtaining and the availability of materials, equipment and devices that are necessary for the production or administration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development and commercialization collaborations and whether we decide to enter into new third-party collaborations for development or commercialization of our product candidates and the terms of any such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and validating new manufacturing processes or facilities for our product candidates and any approved products or of transferring manufacturing responsibilities to a collaborator;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management or scientific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conduct our planned operations or otherwise capitalize on business opportunities due to a lack of capital, our business, financial condition, and results of operations could be adversely affected and the market price of our common shares may decline.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Raising additional capital may cause dilution to our existing shareholders, restrict our operations, or require us to relinquish rights to or dilute our economic interest in our product candidates or technology on terms unfavorable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additional capital through a variety of means, including equity offerings, debt financings or other third-party funding, including grants or new strategic alliances and licensing or collaborations. To the extent that we raise additional capital through the sale of equity or convertible debt securities, your ownership interest will be diluted, and the terms may include liquidation or other preferences that adversely affect your rights as a shareholder. Any debt capital financing may involve covenants that restrict our operations, including limitations on additional borrowing and on the use of our assets and may also include equity components, such as warrants, which could cause your ownership interests to be diluted. If we raise capital through upfront payments or milestone payments pursuant to strategic collaborations with third parties, we may have to relinquish valuable rights to our product candidates and technology or grant licenses on terms that are not favorable to us compared to if we developed and commercialized a product candidate without a strategic collaboration. Any such arrangements may be dilutive to our ownership or economic interest in the products we develop, and we might have to accept royalty payments on product sales rather than receiving the gross revenues from product sales. See, for example, the terms of our agreement with Roche to develop and commercialize OpRegen. Grants from third parties may involve covenants that restrict our operations, require us to relinquish valuable rights in our products, technology and other intellectual property and may be dilutive to our economic interest in products and technologies we develop with such funding. For example, as discussed in Note 13 (Commitments and Contingencies) to our consolidated financial statements included in this report, pursuant to the terms of grants received by Cell Cure Neuroscience Ltd. (“CCN”) from the Israeli government, there are limitations on our ability to manufacture products and transfer or license technologies outside of Israel and considerable contingent financial obligations to the IIA with respect to products, technologies and intellectual property developed with the support of IIA grant funding, which includes the OpRegen program, and, as discussed below in this Risk Factors section, pursuant to the terms of a grant we received from CIRM in support of clinical development of OPC1, we have royalty payment obligations to CIRM based on net sales of products developed with the support of CIRM funding,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Our ability to raise capital through equity or convertible debt financings may be limited by applicable rules of the SEC and NYSE American.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through the sale of equity securities may be limited by various rules and regulations, including rules of the SEC, the NYSE American or any other securities exchange on which our common shares are listed, which place limits on the amount of securities that we may sell in certain circumstances or require shareholder approval to sell securities in excess of certain amounts. For example, we were required to obtain shareholder approval to sell our securities to Broadwood Capital in our November 2024 registered direct offering. Although such shareholder approval was obtained in this instance, no assurance can be given that our shareholders would approve any future capital raising transaction that requires their approval. We may have to forego opportunities to raise capital on favorable terms if we are limited by applicable rules and regulations, which may include requiring us to obtain shareholder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shareholder approval may be a costly and time-consuming process, and seeking shareholder approval could delay our ability to secure otherwise available capital, or cause us to miss such opportunities entirely, which may harm our business and prospects, and there is no guarantee our shareholders ultimately would approve a proposed transaction. We could face difficulties in soliciting a sufficient number of proxies from our shareholders to achieve a quorum at a shareholder meeting, particularly if the majority of our outstanding shares continues to be held by a large number of individual, retail investors, and may have to adjourn or postpone a shareholder meeting, which would further increase the time and expense of obtaining shareholder approval. If our shareholders do not approve a proposed offering and sale involving our equity securities, our ability to raise additional capital may be materially and adversely impacted, as well as our ability to pursue business opportunities where our common shares may be used as consideration, such as strategic transactions to expand our product pipeline, and to retain and recruit key personnel and other employees.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may expend our limited resources to pursue particular product candidates and fail to capitalize on other product candidates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multiple cell therapy programs in development and limited resources. 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clinical or commercial potential or target market for a particular product candidate, we may focus our resources on product candidates that do not demonstrate successful clinical results or commercial viability at the expense of other programs that may have had greater success, or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meet our obligations under our in-license agreements, we may lose our rights to key technologies on which our business depends.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on several critical technologies that are based in part on technology licensed from third parties. Those third-party license agreements impose obligations on us, including payment obligations and obligations to pursue development of commercial products under the licensed patents or technology.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and our ability to raise any capital that we might then need, could be significantly and negatively affected. If our license rights were restricted or ultimately lost, we would not be able to continue to use the licensed technology in our business. Our license agreements are discussed in more detail under “Licensed Technology and Product Development Agreements” in Item 1. “Business” above.</w:t>
      </w:r>
    </w:p>
    <w:p>
      <w:pPr>
        <w:pStyle w:val="TextBody"/>
        <w:bidi w:val="0"/>
        <w:spacing w:before="360" w:after="283"/>
        <w:jc w:val="both"/>
        <w:rPr>
          <w:rFonts w:ascii="Times New Roman" w:hAnsi="Times New Roman"/>
          <w:sz w:val="20"/>
        </w:rPr>
      </w:pPr>
      <w:r>
        <w:rPr>
          <w:rFonts w:ascii="Times New Roman" w:hAnsi="Times New Roman"/>
          <w:b/>
          <w:color w:val="000000"/>
          <w:sz w:val="20"/>
        </w:rPr>
        <w:t>We may acquire or acquire rights to new technologies, product candidates and other assets or businesses, which could fail to result in a commercial product or net sales, divert our management’s attention, result in additional dilution to our shareholders or otherwise disrupt our business and adversely affect our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 and consider strategic opportunities on an ongoing basis that we believe could complement or expand our portfolio, enhance our technical capabilities or otherwise offer growth opportunities. We may in the future acquire or acquire rights to develop and commercialize new technologies, product candidates and other assets or businesses or pursue joint ventures or investments in complementary businesses. However, we may not be able to successfully complete any in-license, acquisition or other strategic transaction we choose to pursue, and we may not successfully integrate any acquired or licensed technology, development program or business in a cost-effective and non-disruptive manner. The pursuit of these potential transactions may divert the attention of management and cause us to incur significant costs and expenses in identifying, investigating and pursuing suitable opportunities and transactions, even if we do not complete the transaction. We may not be able to identify desirable targets or be successful in entering into an agreement with any particular target. Furthermore, the anticipated benefits of any strategic transaction may not materialize.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We also face risk of shareholder lawsuits in connection with acquisitions that can divert management’s focus from operating our business and result in significant legal and other expenses, which could harm our operating results and financial condition. For example, in 2023, we settled a putative shareholder class action lawsuit relating to our acquisition of Asterias after more than three years of litigation. See Note 13 (Commitments and Contingencies) to our consolidated financial statements included in this report. In addition, if an acquired technology, product candidate or other asset or business fails to meet our expectations, our business, financial condition and results of operations may be negatively affected. Additional risks we may face in connection with acquisitions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and integration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of cGMP manufacturing operations from an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from an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relationships with other collaborators as a result of new program or product acquisitions or strategic positioning resulting from the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need to implement or improve controls, procedures, and policies at the acquired business or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reporting, revenue recognition or other financial or control deficiencies of an acquired company that we don’t adequately address and that cause our reported results to be incorrect;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liability for activities of an acquired company before the acquisition, including intellectual property infringement claims, misappropriation or other violation, violations of laws, commercial disputes, tax liabilities and other known and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claims in connection with an acquired company, including claims from terminated employees, vendors, former shareholders or other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before="360" w:after="283"/>
        <w:jc w:val="both"/>
        <w:rPr>
          <w:rFonts w:ascii="Times New Roman" w:hAnsi="Times New Roman"/>
          <w:sz w:val="20"/>
        </w:rPr>
      </w:pPr>
      <w:r>
        <w:rPr>
          <w:rFonts w:ascii="Times New Roman" w:hAnsi="Times New Roman"/>
          <w:b/>
          <w:color w:val="000000"/>
          <w:sz w:val="20"/>
        </w:rPr>
        <w:t>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collaborators, suppliers, CROs, other service providers, or other third parties on which we rely may experience interruptions to our operations, including the conduct of our research and development programs,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trials, and manufacturing operations, due to natural disasters, public health emergencies, geopolitical conflicts, political and economic instability, acts of terrorism, or hardware, software, telecommunication or electrical failures, which could significantly disrupt or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all of our cGMP manufacturing processes, including cell banking and product manufacturing for our cell therapy product candidates, are conducted by our subsidiary, CCN, at its facility in Jerusalem, Israel, and more than two-thirds of our workforce are CCN employees who are based in the same facility. Accordingly, political and economic conditions in Israel and terrorist attacks, cyberattacks, war or other armed conflicts involving Israel could directly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to address the Israeli regional conflict, our operations at our CCN facility in Jerusalem have been impacted. Further, a number of our CCN employees in Israel are members of the military reserves and subject to call-up in response to regional instability. Male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A number of employees in Israel, including CCN’s chief executive officer, have been activated for military duty in the past and additional employees may also be activated, which could disrupt our operations. In addition, the general impact on employees operating in a region subject to instability could adversely impact our operations. Although we have business continuity plans in place to address medium- or long-term disruptions that could result from regional instability, those plans are limited and do not account for every possible scenario, and in addition, any long-term closure of our CCN facility, or if that facility were damaged, or if hostilities otherwise disrupt the ongoing operation of our facility or if a meaningful number of employees are unable to work for significant portions of time, our operations would be materially and adversely impacted. It is currently not possible to predict the scope, duration or severity of present or future regional instability or its effects on our operations, financial condition or operating results. Instability in the region can rapidly evolve, and could materially adversely impact our business and operations, as well as the overall economy in Israel and the value of the New Israeli Shekel.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vulnerable to significant disruption if a natural disaster, public health emergency, terrorist attack, cyber attack, war or other armed conflict, power outage or any other sudden, unforeseen and severe event or condition damages, destroys or otherwise prevents us from using, or disrupts normal operations at, our CCN facility. For example, a natural disaster, explosion, cyber attack, fire or prolonged power outage could result in damage to or destruction of materials and equipment that are critical for our research and manufacturing operations, including our cell banks, or otherwise prevent us from conducting product testing or manufacturing sufficient clinical supplies, which would delay the advancement of our programs and materially harm our business, operating results, prospects, or financial condition. Our cell therapy product candidates are manufactured by starting with cells which are stored in the form of a master cell bank. While we have taken precautions to safeguard our cell banks from catastrophic events and we take precautions when transporting our cell banks, it is possible that we could lose one or more master cell banks and have our manufacturing severely impacted by the need to replace a cell bank. The disaster recovery and business continuity plans we currently have in place are limited and are unlikely to prove adequate in the event of a serious disaster or similar event. Any natural or man-made disaster affecting our CCN facility or employees could materially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hostilities involving Israel or the interruption or curtailment of trade between Israel and its present trading partners, or a significant downturn in the economic or financial condition of Israel, could adversely affect our operations. Ongoing and revived hostilities or other Israeli regional political or economic factors could harm our operations, product candidate development and results of operations. Although Israel has entered into various agreements with Egypt, Jordan, the Palestinian Authority and with various states in the Persian Gulf, there has been a continuous unrest and terrorist activity with varying levels of severity. In addition, Israel faces threats from more distant neighbors, in particular, Iran and Iran-backed militia groups, which have heightened since the October 2023 attacks on Israel. Our insurance policies do not cover us for the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In the event that hostilities disrupt the ongoing operation of our Jerusalem facility, our operations may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countries, principally in the Middle East, still restrict doing business with Israel and Israeli companies, such as CCN. Several other countries have suspended relations with Israel and additional countries may impose restrictions on doing business with Israel and Israeli companies, whether as a result of ongoing instability or hostilities in the region or otherwise. In addition, there have been increased efforts by activists to cause companies, research institutions and consumers to boycott Israeli goods and cooperation with Israeli-related entities based on Israel’s military operations including in Gaza and Israeli government policies. Such actions, particularly if they become more widespread, may adversely impact our ability to obtain supplies necessary to our manufacturing operations, cooperate with research institutions and collaborate with other third parties. Any hostilities involving Israel, any interruption or curtailment of trade or scientific cooperation between Israel and its present partners, or a significant downturn in the economic or financial condition of Israel could adversely affect our business, financial condition and results of operations. We may also be targeted by cyber terrorists specifically because CCN is an Israeli-related company. See also the discussion in this Risk Factors section under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CCN has received Israeli government grants for certain of its research and development activities. The terms of these grants may require us to seek approvals and to satisfy specified conditions to manufacture products and transfer or license grant-supported technologies outside of Israel. In the context of such approvals, we will be required to pay penalties in addition to the repayment of the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CCN has received Israeli government grants for certain of its research and development activities, including grants under the Innovation Law. The terms of these grants require prior approval and the satisfaction of specified conditions to manufacture products and transfer or license technologies outside of Israel. See “Item 1. Business—Grants from Government Entities,” above. For example, the OpRegen program has been supported in part by the IIA through a series of separate research grants, beginning in 2007. As a result, and subject to the requirements of the Innovation Law, we paid the IIA approximately 24.1% of the upfront payment we received under the Roche Agreement, or approximately $12.1 million, and we are obligated to pay to the IIA approximately 24.1% of any milestone and royalty payments we may receive under the Roche Agreement, up to an aggregate cap on all payments to IIA, such cap growing over time via interest accrual until paid in full. As of December 31, 2024, the aggregate cap amount was approximately $95.4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restrictions under the Innovation Law may impair our ability to enter into any future agreements which involve IIA-funded products or know-how without the approval of IIA, or limit the economic benefit that we might derive under such agreements. We cannot be certain that any approval of IIA will be obtained on terms that are acceptable to us, or at all. We may not receive the required approvals should we wish to transfer or license IIA-funded know-how, manufacturing and/or development outside of Israel in the future. Furthermore, in the event that we undertake a transaction involving the transfer to a non-Israeli entity of know-how developed with IIA-funding pursuant to a merger or similar transaction, the consideration available to our shareholders may be significantly reduced by the amounts we are required to pay to the IIA. Any approval, if given, will generally be subject to additional financial obligations. Failure to comply with the requirements under the Innovation Law may subject CCN to mandatory repayment of grants received by it (together with interest and penalties), as well as expose its directors and management to criminal proceedings. In addition, the IIA may from time-to-time conduct royalty audits.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have relied on grant funding from CIRM to support clinical development of OPC1 and we may not be able to obtain additional CIRM funding, which could negatively impact our ability to advance clinical development of OPC1, as well as our operating results and financial condition. In addition, our profits from the sale of products resulting from CIRM-funded development, if any, will be reduced by amounts that we are required to pay CIRM.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development of OPC1 has been supported by $14.3 million of funding from CIRM, a state agency established to fund stem cell research and development of new stem cell-based treatments. In February 2024, CIRM announced that it was postponing acceptance of clinical program funding applications submitted after January 31, 2024. As of the filing date of this report, CIRM is still not accepting applications for clinical program funding opportunities. CIRM paused accepting new applications while it refines its processes and procedures to ensure that new applications align with the Strategic Allocation Framework approved by the CIRM Governing Board. CIRM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anticipates resuming new application reviews by the Spring of 2025. We would plan to apply for additional funding from CIRM to support continued clinical development of OPC1 for the treatment of SCI when CIRM lifts the pause on accepting new clinical program funding applications. However, no assurances can be given as to when CIRM will accept new clinical program funding applications, if at all; or, if it does, that CIRM will accept our application for review or that it will award us any additional funding for the OPC1 program. Moreover, we expect that any CIRM funding will only be applicable to expenses we incur after the date of receipt of an appliable grant and that expenses incurred by us prior to the receipt of any such grant will not be eligible for CIRM funding. If we are unable to timely obtain another CIRM grant or if the amount of grant funding we receive from CIRM, if any, is insufficient to support the DOSED clinical study, the timeline for the conduct of the study may be adversely affected and we may be unable to complete the study or we may need to raise funds through other means to continue clinical development of OPC1, which could have a higher cost of capital, cause dilution to our shareholders, restrict our operations or require us to relinquish rights on unfavorable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terms of our grant award from CIRM require, and we expect the terms of any future grant from CIRM, if any, will require, royalty payments to CIRM based on sales of products developed with CIRM funding, if any, which will reduce our profits on sales of such products. See Item 1. “Business—Grants from Government Entities,” above for additional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international business exposes us to business, regulatory, political, operational, financial and economic risks associated with doing business outside of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CCN is our 94% owned subsidiary located in Jerusalem, Israel. Currently, all of our cGMP manufacturing processes, including cell banking and product manufacturing for our cell therapy product candidates, are conducted by CCN at its Jerusalem facility. A portion of our OpRegen Phase 1/2a clinical trial has been conducted at sites in Israel. Conducting operations internationally involves a number of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us to obtain the appropriate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logistics and regulations associated with shipping drug product or patient samples, including infrastructure conditions and transportation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risks, such as longer payment cycles and exposure to foreign currency exchange rate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tax on Global Intangible Low Tax Income earned by foreign subsidiaries;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and economic instability, including wars, terrorism, cyber attacks, and political unrest, inter-governmental disputes, outbreak of disease, boycotts, curtailment of trade and other business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tariffs, labor and employment laws, data and privacy laws, regulatory requirements and other governmental approvals, permits and licenses;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and compliance risks that may fall within the purview of the U.S. Foreign Corrupt Practices Act, UK Bribery Act, anti-boycott laws and other anti-corruption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factors could significantly harm our international operations and, consequently, our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clinical trial activities. Further, the ongoing Israeli regional conflict may have the effect of heightening many of the risks and uncertainties of conducting significant aspects of our operations outside of the United States and, in particular,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internationally will depend, in part, on our ability to develop and implement policies and strategies that are effective in anticipating and managing these and other risks, particularly in Israel. Failure to manage these and other risks may have a material adverse effect on our operations in Israel and on our business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materially and adversely affected in the future by the effects of a public health crisis.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Disease outbreaks, epidemics and pandemics, particularly in regions where our product candidates are manufactured or where clinical trial sites or other business operations are concentrated, could adversely affect our business, including by causing significant disruptions in our operations and/or in the operations of third parties upon whom we rely, including strategic collaborators, clinical trial sites, CROs, suppliers and other vendors. A public health crisis may have negative impacts on our ability, or that of a strategic collaborator, to initiate new clinical trial sites, enroll new patients and to maintain existing patients who are participating in clinical trials, which may result in increased clinical trial costs, longer timelines and delay in our ability, or that of a strategic collaborator, to obtain regulatory approvals of our product candidates, if at all. For example, the COVID-19 pandemic and actions taken to reduce its spread disrupted our normal course of business operations and delayed patient enrollment in our OpRegen Phase 1/2a clinical trial. Additionally, some enrolled patients in that trial decided not to participate in follow-up visits on schedule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extent to which a future public health crisis may impact our business, results of operations and financial condition is highly uncertain, cannot be predicted with confidence and will depend on, among other factors, the duration and severity of the disease outbreak, epidemic or pandemic and government actions taken in response. Potential disruptions might include, but are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or difficulties in clinical trial site initiation, including difficulties in recruiting clinical site investigators and staff,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difficulties in enrolling patients or conducting follow-up visits with patients in clinical trials of our product candidates, particularly patients who may be at higher risk of complications from the infection or other health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rates of patients withdrawing from our clinical trials following enrollment as a result of contracting the infection or other health conditions or being forced to quarantine;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at hospitals or other facilities serving as our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monitoring, due to limitations on travel;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on employee or other resources that would otherwise be focused on the conduct of clinical trials of our product candidates and preclinical work, including because of sickness of employees or their families, the desire of employees to avoid travel or contact with large groups of people, school closures or mass transit disruptions;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difficulties for us and our suppliers of raw materials caused by business closures, operational restrictions or labor shortages;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clinical trial sites receiving the supplies and materials needed to conduct clinical trials of our product candidates, including interruption in global shipping that may affect the transport of clinical trial materials and supplies;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local regulations as part of a response to public health crisis which may require us or a strategic collaborator to change the ways in which clinical trials of our product candidates are conducted, which may result in unexpected costs, or cause us or our collaborators to discontinue the clinical trials altogether;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including with respect to their manufacturing or clinical trial site inspections, which may impact their ability to timely review and process any submissions we or our collaborators file;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that participants enrolled in our clinical trials will contract the infection or other health conditions while the clinical trial is ongoing, which could impact the results of the clinical trial, including by increasing the number of observed adverse events;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accept data from clinical trials in affected geographies.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extent any disease outbreak, epidemic or pandemic adversely affects our business, financial condition or results of operations, it may also have the effect of heightening many of the other risks and uncertainties described in this ‘‘Risk Factors’’ section.</w:t>
      </w:r>
    </w:p>
    <w:p>
      <w:pPr>
        <w:pStyle w:val="TextBody"/>
        <w:bidi w:val="0"/>
        <w:spacing w:before="360" w:after="283"/>
        <w:jc w:val="both"/>
        <w:rPr>
          <w:rFonts w:ascii="Times New Roman" w:hAnsi="Times New Roman"/>
          <w:sz w:val="20"/>
        </w:rPr>
      </w:pPr>
      <w:r>
        <w:rPr>
          <w:rFonts w:ascii="Times New Roman" w:hAnsi="Times New Roman"/>
          <w:b/>
          <w:color w:val="000000"/>
          <w:sz w:val="20"/>
        </w:rPr>
        <w:t>Our business could be adversely affected if we lose the services of the key personnel upon whom we depend or if we fail to attract and retain senior management and key scientific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continued success depends to a significant extent upon our efforts and ability to retain highly qualified personnel. All of our officers and other employees, including CCN employees, are at-will employees and may terminate their employment with us at any time with no advance notice. The loss of the services of key personnel could have a material adverse effect on us. Further, the replacement of any of key personnel would likely involve significant time and costs and may significantly delay or prevent the achievement of our business and clinical objectives and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could experience difficulties attracting qualified employees in the future. For example, competition for qualified personnel in the biotechnology and medical device field is intense due to the limited number of individuals who possess the skills and experience required by our industry. We will need to hire additional personnel as we expand our business, including our clinical development activities. We may not be able to attract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to which we are subject in the U.S. or Israel could be enacted at any time, which could adversely affect our business operations and financial performance. Further, existing tax laws, statutes, rules, regulations or ordinances to which we are subject in the U.S. or Israel could be interpreted, changed, modified or applied adversely to us. For example, it is currently unclear exactly what actions the new U.S. presidential administration will implement relating to existing U.S. tax laws, statutes, rules, regulations or ordinances, and if implemented, how such actions may impact our business operations and financial performance. Future tax reform legislation could have a material impact on the value of our deferred tax assets, could result in significant one-time charges, and could increase our future U.S. or Israeli tax expense.</w:t>
      </w:r>
    </w:p>
    <w:p>
      <w:pPr>
        <w:pStyle w:val="TextBody"/>
        <w:bidi w:val="0"/>
        <w:spacing w:before="360" w:after="283"/>
        <w:jc w:val="both"/>
        <w:rPr>
          <w:rFonts w:ascii="Times New Roman" w:hAnsi="Times New Roman"/>
          <w:sz w:val="20"/>
        </w:rPr>
      </w:pPr>
      <w:r>
        <w:rPr>
          <w:rFonts w:ascii="Times New Roman" w:hAnsi="Times New Roman"/>
          <w:b/>
          <w:color w:val="000000"/>
          <w:sz w:val="20"/>
        </w:rPr>
        <w:t>Political uncertainty may have an adverse impact on our operating performance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Considerable uncertainty exists regarding how federal government policy and budget decisions will unfold under the new U.S. presidential administration. Such uncertainty and, depending on how federal government policy and budget decisions unfold, may have an adverse impact on our operating performance and results of operations. In particular, the U.S. continues to experience significant political events that cast uncertainty on global financial and economic markets, especially following the recent presidential election. Furthermore, the imposition of tariffs, trade protection measures, import or export licensing requirements, trade sanctions or similar restrictions could negatively impact our business and operations. Any actions taken by the new presidential administration, including the many recent executive orders, may have a negative impact on the U.S. economy and on our business, financial condition, and results of operations. See also the risk factor below titled “Disruptions at the FDA, SEC and other government agencies, including due to a lack of funding, changes in leadership or significant personnel turnover, could delay or disrupt clinical and preclinical development and potential marketing approval of our product candidates and hinder our ability to raise additional capital.”</w:t>
      </w:r>
    </w:p>
    <w:p>
      <w:pPr>
        <w:pStyle w:val="TextBody"/>
        <w:bidi w:val="0"/>
        <w:spacing w:before="360" w:after="283"/>
        <w:jc w:val="left"/>
        <w:rPr>
          <w:rFonts w:ascii="Times New Roman" w:hAnsi="Times New Roman"/>
          <w:sz w:val="20"/>
        </w:rPr>
      </w:pPr>
      <w:r>
        <w:rPr>
          <w:rFonts w:ascii="Times New Roman" w:hAnsi="Times New Roman"/>
          <w:b/>
          <w:color w:val="000000"/>
          <w:sz w:val="20"/>
        </w:rPr>
        <w:t>Our ability to use net operating losses and other tax attributes to offset future taxable income or taxes may be subject to limitations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we had substantial net operating loss (“NOL”) carryforwards for U.S. federal and state tax purposes and other tax attributes to offset future taxable income. However, our federal NOL carryforwards and other tax attributes may not be available to offset future taxable income because of restrictions under U.S. tax law and similar limitations that may apply under state tax laws. A portion of our federal and state NOL carryforwards will begin to expire, if not utilized, in varying amounts between 2030 and 2044. Our federal research and development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 carryforwards expire in varying amounts between 2024 and 2044, the California research and development tax credit carryforwards have no expiration date. See Note 12 (Income Taxes) to our consolidated financial statements included in this report for additional information. NOL carryforwards and research and development and other tax credits that expire unused will be unavailable to offset future income tax liabilities. Under federal income tax law, federal NOL carryforwards generated in tax years beginning after December 31, 2017, may be carried forward indefinitely, but the deductibility of such NOL carryforwards is limited to 80% of taxable income. It is uncertain if and to what extent various states that we may operate in will conform to the federal tax law. In addition, under Sections 382 and 383 of the Internal Revenue Code of 1986, as amended (the “IRC”),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have experienced ownership changes in the past and we may experience ownership changes in the future as a result of subsequent shifts in our stock ownership, some of which may be outside of our control. As a result, our ability to use our pre-change NOL carryforwards and tax credits to offset post-change taxable income, if any, could be subject to significant limitations. Similar provisions of state tax law may also apply. In addition, the state of California suspended the use of the NOL deduction for tax years 2024 through 2026 if their California taxable income is greater than or equal to $1 million. Accordingly, the Company may not be able to offset taxable income with their NOL carryforwards during these years. The state of California also limited the use of their research and development credits to $5 million for tax years 2024 through 2026, which could accelerate or permanently increase state taxes owed. As a result of limitations on our ability to use our NOL carryforwards and tax credits, we may be unable to gain the benefit of a material portion of our NOL carryforwards and tax credits, which could harm our future operating results by effectively increasing our future income tax obligations. . There is also considerable uncertainty regarding how federal tax policy will unfold under the new U.S. presidential administration and we cannot predict the effect of any potential change in federal tax policy on our business or financial position.</w:t>
      </w:r>
    </w:p>
    <w:p>
      <w:pPr>
        <w:pStyle w:val="TextBody"/>
        <w:bidi w:val="0"/>
        <w:spacing w:before="360" w:after="283"/>
        <w:jc w:val="both"/>
        <w:rPr>
          <w:rFonts w:ascii="Times New Roman" w:hAnsi="Times New Roman"/>
          <w:sz w:val="20"/>
        </w:rPr>
      </w:pPr>
      <w:r>
        <w:rPr>
          <w:rFonts w:ascii="Times New Roman" w:hAnsi="Times New Roman"/>
          <w:b/>
          <w:color w:val="000000"/>
          <w:sz w:val="20"/>
        </w:rPr>
        <w:t>Taxing authorities could reallocate our taxable income among our subsidiaries, which could increase our overall tax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organized in the United States, and have subsidiaries in Israel and Singapore. If we succeed in growing our business, we may conduct increased operations through subsidiaries in various tax jurisdictions pursuant to transfer pricing arrangements between us and our subsidiaries. If two or more affiliated companies are located in different countries, the tax laws or regulations of each country generally will require that such arrangements be priced the same as those between unrelated companies dealing at arm’s length and that appropriate documentation is maintained to support the value of such arrangements. Our transfer pricing policies were formulated with the assistance of third-party experts; however, tax authorities in any country may disagree with our transfer pricing policies and procedures and we are subject to more tax audits as a result of having subsidiaries in foreign countries.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particularly in relation to our subsidiary CCN, it would increase our tax liability, which could adversely affect our financial condition, results of operations and cash flows.</w:t>
      </w:r>
    </w:p>
    <w:p>
      <w:pPr>
        <w:pStyle w:val="TextBody"/>
        <w:bidi w:val="0"/>
        <w:spacing w:before="360" w:after="283"/>
        <w:jc w:val="both"/>
        <w:rPr>
          <w:rFonts w:ascii="Times New Roman" w:hAnsi="Times New Roman"/>
          <w:sz w:val="20"/>
        </w:rPr>
      </w:pPr>
      <w:r>
        <w:rPr>
          <w:rFonts w:ascii="Times New Roman" w:hAnsi="Times New Roman"/>
          <w:b/>
          <w:color w:val="000000"/>
          <w:sz w:val="20"/>
        </w:rPr>
        <w:t>Because a portion of our expenses are incurred in currencies other than the U.S. Dollar, our results of operations may be harmed by currency fluctuations.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reporting and functional currency is the United States Dollar, but a material portion of our research and development and other operating expenses are incurred in Israeli New Shekels through our subsidiary CCN. As a result, we are exposed to some currency fluctuation risks. We do not currently manage our foreign currency exposure in a manner that would eliminate the effects of changes in foreign exchange rates. For example, we do not engage in any active hedging techniques, and we do not employ any derivative instruments. Unfavorable fluctuations in the exchange rate between Israeli New Shekels and U.S. dollar may adversely affect our comprehensive loss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Disruptions at the FDA, SEC and other government agencies, including due to a lack of funding, changes in leadership or significant personnel turnover, could delay or disrupt clinical and preclinical development and potential marketing approval of our product candidates and hinder our ability to raise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Twice in the past decade, the previous appropriations legislation deadline was reached and Congress failed to pass a new appropriations bill or continuing resolution to temporarily extend funding, resulting in U.S. government shutdowns that caused federal agencies to halt non-essential operations. The federal government came very close to another shutdown in late 2023. Political polarization among lawmakers may lead to a higher frequency and longer duration of government shutdowns in the future. A federal government shutdown could prevent or delay staff at federal agencies from performing key functions that may adversely affect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considerable uncertainty exists regarding how federal government policy and budget decisions will unfold, including the regulatory and spending priorities of the new U.S. presidential administration and Congress, and what challenges potential policy changes and budget reductions will present for us and our industry generally. Government funding of other government agencies that fund research and development activities is subject to the political process, which is inherently fluid and unpredictable. The new U.S. presidential administration may institute significant changes to certain federal regulatory agencies including the FDA and SEC, including reductions in funding levels or restructuring of such agencies that could adversely impact us. For example, the ability of the FDA to review and approve new product applications or take action with respect to other regulatory matters can be affected by a variety of factors, including funding levels, ability to accept the payment of user fees, ability to hire and retain key personnel, and statutory, regulatory and policy changes, and other events that may otherwise affect the FDA’s ability to perform routine functions. For example, as a result of the COVID-19 pandemic, the FDA’s inspectional activities were interrupted and restarted on a risk-based basis, which had the effect of delaying review and potential approval of product candidate marketing applications. Disruptions at the FDA may delay meetings and other communications with agency staff necessary to progress development of our product candidates and may slow the time necessary for acceptance, review and approval of applications to commence clinical studies or to market a new product in the U.S. In addition, 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For example, if a federal government shutdown halts non-essential SEC operations for an extended period, it may negatively impact our ability to raise additional capital through registered offerings of our securities in the future. If a prolonged U.S. government shutdown or other event or condition occurs that prevents or significantly delays the FDA, SEC or other regulatory agencies from hiring and retaining personnel and conducting their regular activities, or if an agency is restructured or experiences significant reduction in funding, leadership changes or employee turnover,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w:t>
      </w:r>
    </w:p>
    <w:p>
      <w:pPr>
        <w:pStyle w:val="TextBody"/>
        <w:bidi w:val="0"/>
        <w:spacing w:before="360" w:after="283"/>
        <w:jc w:val="center"/>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or our strategic collaborators do not receive regulatory approvals, our product candidates may not be marketed or sold.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investigational cell therapies cannot be marketed or sold until the FDA and corresponding foreign regulatory authorities approve the products for the human medical applications for which they are being developed. In addition, the regulatory approval process for novel product candidates such as ours can be more complex and consequently more expensive and take longer than for other, better known or extensively studied pharmaceutical or other product candidates. The need to obtain regulatory approval to market a new product means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will have to conduct expensive and time-consuming clinical trials of new products. The full cost of conducting and completing clinical trials necessary to obtain FDA and foreign regulatory approval of a new product cannot be presently determined but could exceed our current financial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and the regulatory approval process for a pharmaceutical or cell-based product can take several years to complete. As a result, we or our collaborators will incur the expense and delay inherent in seeking FDA and foreign regulatory approval of new products, even if the results of clinical trials are favorable.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obtained from preclinical and clinical studies is susceptible to varying interpretations and regulatory changes that could delay, limit, or prevent regulatory agency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cell therapy candidates involve the application of new technologies and approaches to medicine, the FDA or foreign regulatory agencies may subject those products to additional or more stringent review than drugs or biologics derived from other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that is approved may be subject to restrictions on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can recall or withdraw approval of a product, if it deems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collaborators will face similar regulatory issues in foreign countries.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Government-imposed bans or restrictions and religious, moral, and ethical concerns about the use of hES cells could prevent us from developing and successfully marketing stem cell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Government-imposed bans or restrictions on the use of embryos or hES cells in research and development in the United States and abroad could generally constrain stem cell research, thereby limiting the market and demand for our products. During March 2009, the federal government, pursuant to a presidential executive order, lifted certain restrictions on federal funding of research involving the use of hES cells, and in accordance with the executive order, the NIH has adopted guidelines for determining the eligibility of hES cell lines for use in federally funded research. The central focus of the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The hES cells that were derived from embryos created for research purposes rather than reproductive purposes, and other hES cells that were not derived in compliance with the guidelines, are not eligible for use in federally funded research. California law requires that stem cell research be conducted under the oversight of a SCRO Committee. Many kinds of stem cell research, including the derivation of new hES cell lines, may only be conducted in California with the prior written approval of the SCRO Committee. A SCRO Committee could prohibit or impose restrictions on the research that we plan to do. The use of hES cells may give rise to religious, moral, and ethical issues. These considerations could lead to more restrictive government regulations or could generally constrain stem cell research, thereby limiting the market and demand for our products.</w:t>
      </w:r>
    </w:p>
    <w:p>
      <w:pPr>
        <w:pStyle w:val="TextBody"/>
        <w:bidi w:val="0"/>
        <w:spacing w:before="360" w:after="283"/>
        <w:jc w:val="both"/>
        <w:rPr>
          <w:rFonts w:ascii="Times New Roman" w:hAnsi="Times New Roman"/>
          <w:sz w:val="20"/>
        </w:rPr>
      </w:pPr>
      <w:r>
        <w:rPr>
          <w:rFonts w:ascii="Times New Roman" w:hAnsi="Times New Roman"/>
          <w:b/>
          <w:color w:val="000000"/>
          <w:sz w:val="20"/>
        </w:rPr>
        <w:t>Some of our product candidates, may be considered combination products by the FDA and other regulatory authorities, which could increase the complexity, cost and timeline for their development and regulatory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our product candidates meet the FDA’s or other regulatory authority’s definition of a combination product, the regulatory approval requirements can be more complex because in addition to the individual regulatory requirements for each component, e.g., a biologic and a medical device, additional combination product regulatory requirements may apply. The cost and timeline for development of any of our cell therapy product candidates determined to be a combination product may be substantially greater than that of other product candidates. In addition, even if the FDA does not determine that our product candidates are combination products, we may nevertheless be required to obtain approval from more than one Center of the FDA because a device will need to deliver our product candidates to patients. For example, we had to obtain approval from two Centers of the FDA (the Center for Biologics Evaluation and Research and the Center for Devices and Radiological Health) before the FDA would allow us to proceed with the DOSED clinical study. Having to obtain approval from more than one center of the FDA increases the chances of not receiving approval and adds complexity, time and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expect that the commercial opportunity for some of our products may depend on our ability, or that of a commercial collaborator, to obtain and maintain reimbursement and continued coverage from various payors, including government agencies and insurance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these third-party payors do not consider our products to be cost-effective compared to other therapies, they may not cover our products as a benefit under their plans or, if they do, the level of payment may not be sufficient to allow us to sell our products on a profitable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the United States, healthcare providers are reimbursed for covered services and products they deliver through Medicare, Medicaid and other government healthcare programs, as well as through private payers.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We may be required to provide specified rebates or discounts on the products we sell to certain government funded programs, including Medicare and Medicaid, and those rebates or discounts have increased over time. The Patient Protection and Affordable Care Act, as amended by the Healthcare and Education Reconciliation Act (collectively, the “ACA”), enacted in 2010, increased many of the mandatory discounts and rebates and imposed a new branded prescription pharmaceutical manufacturers and importers fee payable each year by certain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Further, coverage policies and third-party payor reimbursement rates may change at any time. Therefore, even if favorable coverage and reimbursement status is attained,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similar issues outside of the United States.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subject to the risk that a negative perception of the future pharmaceutical pricing environment by potential collaborators and investors could negatively impact their financial models and their decision to invest in, or enter into a collaboration, with us. If investors have a negative view on the future pharmaceutical pricing environment, this could cause us to raise capital at higher cost and our stockholders could suffer greater dilution. If potential collaborators have such a view, this could make it more challenging for us to enter into collaborations on acceptable terms or at all, which could require us to fund clinical trials on our own, which we currently do not have the capital to do. See the risk factor above titled “Raising additional capital may cause dilution to our existing shareholders, restrict our operations, or require us to relinquish rights to or dilute our economic interest in our product candidates or technology on terms unfavorable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Legislation and legislative, executive and regulatory proposals intended to contain health care costs may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heightened governmental scrutiny in the United States of pharmaceutical pricing practices in light of the rising cost of prescription drugs and biologics. As an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the U.S. Department of Health &amp; Human Services to submit a report within 90 days on how the Center for Medicare and Medicaid Innovation can be further leveraged to test new models for lowering drug costs for Medicare and Medicaid beneficiaries. It is unclear whether this executive order or similar policy initiatives will be implemented in the future. Further, on December 7, 2023, the Biden administration announced an initiative to control the price of prescription drugs through the use of march-in rights under the Bayh-Dole Act of 1980.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which would allow the U.S. government to share a company’s drug patents developed with federal funds with other companies. While march-in rights have not previously been exercised, it is uncertain if that will continue under the new framework. The impact of these legislative, executive, and administrative actions and any future healthcare measures and agency rules implemented on the pharmaceutical industry as a whole is unclear.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Disruptions at the FDA and other government agencies caused by funding shortages or other events or conditions outside of their control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proposed clinical trials or new product candidates can be affected by a variety of factors, including, but not limited to,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product candidates to be reviewed and/or approved by necessary government agencies, which would adversely affect our business. For example, as a result of the COVID-19 pandemic, the FDA’s inspectional activities were interrupted and restarted on a risk-based basis, which had the effect of delaying review and potential approval of product candidate marketing applications. In addition, over the last several years, including for 35 days beginning on December 22, 2018, the U.S. government has shut down several times and certain regulatory agencies, such as the FDA, have had to furlough critical FDA employees and stop various activities.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ACA and future changes to that law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adoption of the ACA, in the United States, substantial changes have been made to the system for paying for healthcare in the United States. Among the ACA’s provisions of importance to our industry are that 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the branded prescription pharmaceutical manufacturers and importers annual fee;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However, on March 11, 2021, President Biden signed the American Rescue Plan Act of 2021 into law, which eliminates the statutory Medicaid drug rebate cap for single source and innovator multiple source drugs, beginning January 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new methodology by which rebates owed by manufacturers under the Medicaid Drug Rebate Program are calculated for certain drugs and biologics that are inhaled, infused, instilled, implanted or injected;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extended manufacturers’ Medicaid rebate liability to covered drugs dispensed to individuals who are enrolled in Medicaid managed care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expanded the entities eligible for discounts under the Public Health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a new Patient-Centered Outcomes Research Institute to oversee, identify priorities in, and conduct comparative clinical effectiveness research, along with funding for such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established a Center for Medicare &amp; Medicaid Innovation at CMS to test innovative payment and service delivery models to lower Medicare and Medicaid spending, potentially including prescription drug spending;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created a licensure framework for follow on biologic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ACA. While Congress has not passed comprehensive repeal legislation, it has enacted laws that modify certain provisions of the ACA such as removing penalties for not complying with the ACA’s individual mandate to carry health insurance, and eliminating the implementation of certain ACA-mandated fees. In June 2021, the United States Supreme Court dismissed a challenge on procedural grounds that argued the ACA is unconstitutional in its entirety because the “individual mandate” was repealed by Congress. Thus, the ACA will remain in effect in its current form. Moreover, prior to the United States Supreme Court ruling, in January 2021, President Biden issued an executive order that, among other things,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other litigation, and the healthcare reform measures of the Biden administration will impact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the Budget Control Act of 2011, includes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In 2024, CMS built upon the then U.S. presidential administration’s goals of advancing health equity by expanding access to quality, affordable health coverage and care by increasing access to health care services, simplifying choice and improving the plan selection process. Considerable uncertainty exists regarding the nature and scope of healthcare reform measures under the new U.S. presidential 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in 2020 the Trump administration announced several executive orders related to prescription drug pricing that attempted to implement several of the administration’s proposals. As a result, the FDA concurrently released a final rule and guidance in September 2020, providing pathways for states to build and submit importation plans for drugs from Canada.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2020, the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until 2032 by the Inflation Reduction Act of 2022. The rule also creates a new safe harbor for price reductions reflected at the point-of-sale, as well as a new safe harbor for certain fixed fee arrangements between pharmacy benefit managers and manufacturers, the implementation of which has been delayed until 2032 by the Inflation Reduction Act of 2022.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in December 2021, CMS published a final rule that rescinds the Most Favored Nation model interim final rule. Further, in July 2021, the Biden administration released an executive order that included multiple provisions aimed at prescription drugs. In response to President Biden’s executive order, in September 2021, the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Additionally, based on a recent executive order, the Biden administration expressed its intent to pursue certain policy initiatives to reduce drug prices.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January 2025, the new U.S. presidential administration issued Executive Order 14148, which rescinded the prior U.S. presidential administration Executive Order 14087, which had built upon a July 2021 Executive Order by setting out the policy to have the HHS Secretary test healthcare payment and delivery models to lower drug costs. Considerable uncertainty exists regarding how the new U.S. presidential administration will reform the Inflation Reduction Act and other drug pricing policies.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we fail to comply with the extensive legal and regulatory requirements affecting the healthcare industry, we could face increased costs, penalties and loss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activities, and the activities of our collaborators, distributors and other third-party providers, are subject to extensive government regulation and oversight both in the U.S. and in foreign jurisdictions. The FDA and comparable agencies in other jurisdictions will directly regulate many of our most critical business activities, including the conduct of preclinical and clinical studies, product manufacturing, future advertising and promotion, product distribution, adverse event reporting and product risk management. Our current and future interactions in the U.S. or abroad with physicians and other healthcare providers that may prescribe or purchase our products once commercialized are also subject to government regulation designed to prevent fraud and abuse in the sale and use of the products and place greater restrictions on the marketing practices of healthcare companies. Healthcare companies are facing heightened scrutiny of their relationships with healthcare providers from anti-corruption enforcement officials. In addition, healthcare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Risks relating to compliance with laws and regulations may be heightened as we bring products to the market globally.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Regulations governing the healthcare industry are subject to change, with possibly retroactive effect,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laws, regulations or judicial decisions, or new interpretations of existing laws, regulations or decisions, related to healthcare availability, pricing or marketing practices, compliance with wage and hour laws and other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FDA and foreign regulatory approval processes that may delay or prevent the approval of new products and result in lost market opportunity;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U.S. Supreme Court’s July 2024 decision to overturn prior established case law giving deference to regulatory agencies’ interpretations of ambiguous statutory language, which has introduced uncertainty regarding the extent to which the FDA’s regulations, policies and decisions may become subject to increasing legal challenges, delays or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that provide for increased transparency of clinical trial results and quality data, such as the EMA’s clinical transparency policy, which could impact our ability to protect trade secrets and competitively sensitive information contained in approval applications or could be misinterpreted leading to reputational damage, misperception or legal action which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the new U.S. presidential administration may institute to federal regulatory agencies including the FDA, including reductions in funding levels or restructuring of such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conditions and regulations governing the health care industry in the U.S. are subject to greater risk of change and uncertainty as a result of changes in legislative and regulatory priorities and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Even if we receive approval to market a product candidate, we may be subject to extensive post-approval regulatory obligations that may have a significant adverse effect on our business, results of operations, financial condition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after initial FDA or foreign regulatory agency approval has been obtained, further studies may be required to provide additional data on safety or to gain approval for the use of a product as a treatment for clinical indications other than those initially targeted. Use of a product during testing and after marketing could reveal side effects that could delay, impede, or prevent marketing approval, result in a regulatory agency-ordered product recall, or in regulatory agency-imposed limitations on permissible uses or in withdrawal of approval. For example, if the FDA or foreign regulatory agency becomes aware of new safety information after approval of a product, it may require us to conduct further clinical trials to assess a known or potential serious risk and to assure that the benefit of the product outweigh the risks. If we are required to conduct such a post-approval study, periodic status reports must be submitted to the FDA or foreign regulatory agency. Failure to conduct such post-approval studies in a timely manner may result in substantial civil or criminal penalties. Data resulting from these clinical trials may result in expansions or restrictions to the labeled indications for which a product has already been approved. Any of these requirements or actions may negatively impact our business or operations.</w:t>
      </w:r>
    </w:p>
    <w:p>
      <w:pPr>
        <w:pStyle w:val="TextBody"/>
        <w:bidi w:val="0"/>
        <w:spacing w:before="360" w:after="283"/>
        <w:jc w:val="both"/>
        <w:rPr>
          <w:rFonts w:ascii="Times New Roman" w:hAnsi="Times New Roman"/>
          <w:sz w:val="20"/>
        </w:rPr>
      </w:pPr>
      <w:r>
        <w:rPr>
          <w:rFonts w:ascii="Times New Roman" w:hAnsi="Times New Roman"/>
          <w:b/>
          <w:color w:val="000000"/>
          <w:sz w:val="20"/>
        </w:rPr>
        <w:t>The FDA has granted orphan drug designation to OPC1 for the treatment of acute SCIs. However, there is no guarantee we will be able to maintain this designation, receive this designation for any other product candidate, or obtain the benefits associated with such designation, including marketing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orphan drug designation from the FDA for OPC1 for the treatment of acute SCIs and we may seek orphan drug designation for other product candidates. As discussed in more detail in Item 1. “Business—Government Regulation—FDA and Foreign Regulation of Therapeutic Products,” above, generally, if a biologic with orphan drug designation from the FDA subsequently receives the first marketing approval for the indication for which it has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designation, the product is entitled to seven years of marketing exclusivity in the United States. Other benefits of an orphan drug designation may include a waiver of the marketing application fee. However, the orphan drug designation does not convey any advantage in, or shorten the duration of, the regulatory review or approval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determines that our request for orphan drug designation was materially defective, if the FDA determines that the product candidate was not eligible for designation at the time of the submission of the request, or if we are unable to assure sufficient quantities of the commercial product for which the designation was granted to meet the needs of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Regenerative Medicine Advanced Therapy</w:t>
      </w:r>
      <w:r>
        <w:rPr>
          <w:rFonts w:ascii="Times New Roman" w:hAnsi="Times New Roman"/>
          <w:color w:val="000000"/>
          <w:sz w:val="20"/>
        </w:rPr>
        <w:t xml:space="preserve"> </w:t>
      </w:r>
      <w:r>
        <w:rPr>
          <w:rFonts w:ascii="Times New Roman" w:hAnsi="Times New Roman"/>
          <w:b/>
          <w:color w:val="000000"/>
          <w:sz w:val="20"/>
        </w:rPr>
        <w:t>designation may not lead to a faster development or regulatory review or approval process and it does not increase the likelihood that a product candidate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received RMAT designation from the FDA for both OPC1 for the treatment of subacute SCIs as well as OpRegen for the treatment of GA secondary to AMD, and we may seek RMAT designation for other product candidates. There is no assurance that we will obtain RMAT designation for any other current or future product candidates. RMAT designation does not change the FDA’s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may be subject, directly or indirectly, to federal and state healthcare fraud and abuse laws, including anti-kickback and false claims laws, transparency laws, and health information privacy and security laws.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future operations may be subject to various federal and state fraud and abuse laws, including, without limitation, the federal Anti-Kickback Statute, the federal False Claims Act, and healthcare professional transparency laws and regulations. These laws may impact, among other things, our research activities and our proposed sales, marketing, and education programs. In addition, we may be subject to patient privacy regulation by both the federal government and the states in which we conduct our business. The laws that may affect our ability to operate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including the federal False Claims Act, and civil monetary penalty laws, which prohibit, among other things, individuals or entities from knowingly presenting, or causing to be presented, claims for payment from Medicare, Medicaid, or other third-party payors that are false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created new federal criminal statutes that prohibit, among other things, executing a scheme to defraud any healthcare benefit program and making false statements relating to healthcare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HITECH and their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Physician Payments Sunshine Act, which requires manufacturers of drugs, devices, biologics, and medical supplies for which payment is available under Medicare, Medicaid or the Children’s Health Insurance Program (with certain exceptions) to report annually to the CMS, information related to payments and other transfers of value to physicians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 and applicable group purchasing organizations;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that may apply to items or services reimbursed by any third-party payors,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could be subject to challenge under one or more of such laws. In addition, recent healthcare reform legislation has strengthened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we may be subject to significant penalties, including administrative, civil and criminal penalties, damages, fines, disgorgement, exclusion from participation in government healthcare programs, such as Medicare and Medicaid, integrity oversight and reporting obligations, imprisonment, and the curtailment or restructuring of our operations, any of which could adversely affect our ability to operate our business and our results of operations.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Clinical Development and Commercial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Clinical development of new therapeutic products is a lengthy and expensive process with a high level of uncertainty as to timing and ultimate outcome.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development of new therapeutic products is expensive and can take many years to complete, and its outcome and timing are inherently uncertain. Clinical trials of our product candidates may not be conducted as planned or completed on schedule, if at all, and failure can occur at any time during the development process. There is typically an extremely high rate of attrition from the failure of product candidates proceeding through clinical trials, and cell therapy is a relatively new field, which may heighten the risk of failure. Events that may prevent successful or timely completion of clinical development of our product candidates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generate satisfactory preclinical, toxicology, or other in vivo or in vitro data or diagnostics to support the initiation or continuation of clinical studies necessary for product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identifying, developing or securing rights to use, and testing delivery systems or other methods for administration of our potential 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securing clinical investigators and agreeing on acceptable terms with contract research organizations (“CROs”) and clinical trial sites, the terms of which can be subject to extensive negotiation and may vary significantly among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(“IRB”) or ethics committee (“EC”)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IRB to follow FDA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obtaining permission from regulatory authorities to conduct a clinical trial after review of an IND or equivalent foreign application or amendment;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anticipated rates of patient recruitment and enrollment or failure to reach the targeted number of study participants due to competition from other clinical trials or available treatment options (some potentially newly approved and marketed), or patients dropping out of our clinical studies once enrolled;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clinical sites or our CROs or other third parties to adhere to clinical trial requirements or report complete findings;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perform the clinical studies in accordance with the FDA’s good clinical practices requirements or applicable foreign regulatory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(“SAEs”) or adverse events (“AEs”) associated with our product candidates or with product candidates of third parties that may have characteristics similar to or perceived to be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results from clinical trials of our product candidates or clinical trials of product candidates with characteristics similar to or perceived as similar to our product candidates, which may result in decisions by us or our collaborators, or requirements imposed by regulators, to conduct additional clinical studies or to curtail or abandon development programs for a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effectiveness or unacceptable side effects, possibly resulting in the FDA or other regulatory authorities denying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and introduction of new therapies or changes in standards of practice or regulatory guidance that render our clinical trial endpoints or the targeting of our proposed indications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monitor patients adequately during or after treatment or problems with patient compliance with the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or unwillingness of medical investigators to follow our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or unfavorable FDA or other regulatory agency inspection and review of a clinical trial site or a manufacturing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use clinical trial results from foreign jurisdictions to support U.S.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clinical trial protocols or conducting additional clinical or nonclinical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than anticipated cost of clinical studies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patients drop out of our clinical trials, miss scheduled doses or follow-up visits or otherwise fail to follow clinical trial protocols, or if our clinical trials are otherwise disrupted due to unforeseen events, such as previously occurred as a result of the COVID-19 pandemic as discussed elsewhere in this Risk Factors section, the integrity of data from our clinical trials may be compromised or not accepted by the FDA or other regulatory authorities, which would represent a significant setback for the applicable program. In addition, the risks and uncertainties discussed herein with respect to clinical development we conduct or control, similarly apply to clinical development of our product candidates by a strategic collaborator.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Delays or any inability to successfully complete clinical development and obtain regulatory approval could result in additional costs to us, impair our ability to generate revenue and harm our financial condition. Clinical trial delays could also shorten any periods during which our products have patent protection and may allow competitors to develop and bring products to market before we do and may harm our prospects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results of preclinical studies and early clinical trials of our product candidates are not necessarily predictive of future results. Our product candidates may not have favorable results in later clinical trials despite positive results in preclinical and early clinical studies, which may have a material and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substantial additional development, and no assurances can be given that the development of any of our product candidates will ultimately be successful, whether development activities are conducted by us or a strategic collaborator. Results from preclinical testing and clinical studies of our product candidates, may support continued development and we or a collaborator may spend significant time and resources on development of a potential product based on results of such early studies, but product candidates in later stages of development may fail to demonstrate safety and efficacy results necessary for regulatory approval or commercial viability. Many companies in our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 A failure of one or more clinical studies can occur at any stage of development, including in a post-approval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later clinical studies, our product candidates may not demonstrate the efficacy, durability of efficacy, or safety achieved in preclinical and earlier clinical studies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improve, standardize, and scale up the manufacture of our clinical product candidates, including OpRegen and OPC1, and any resulting changes to the product candidates, may adversely affect the safety, purity, potency or efficacy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differences in delivery systems or other methods of transplant or administration of our cell formulations;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differences in trial design, including number of subjects, controls (type and number), eligibility criteria, patient populations, and endpoints;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complexity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advancements in the standard of care, including newly approved and/or marketed products, may affect our ability or that of a collaborator to demonstrate efficacy or achieve trial endpoints in current or future clinical trials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variability in interpretation and analysis of study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based on data analyzed to date, in our Phase 1/2a open-label trial for OpRegen, OpRegen has been well tolerated and demonstrated an acceptable safety profile, with no unexpected adverse events, while having qualifiable and quantifiable therapeutic potential in patients with geographic atrophy secondary to age-related macular degeneration. However, positive data from the Phase 1/2a trial are not necessarily predictive of results that may be seen from the ongoing Phase 2a clinical trial of RG6501 (OpRegen) being conducted by Roche. We do not know how OpRegen will perform in that Phase 2a trial or future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clinical trials of our product candidates, which may include registrational trials, trials in additional patient populations or under different treatment conditions, and trials using different manufacturing protocols, processes, materials or facilities or under different manufacturing conditions, will be necessary before we or our collaborators are able to seek approvals for our product candidates from the FDA and regulatory authorities outside the United States to market and sell these product candidates. Our failure, or that of our collaborators, to meet the requirements to support marketing approval for our product candidates in ongoing and future clinical trials would substantially harm our business and prospects. If clinical trials of our product candidates are not successful, our business, financial condition and results of operations could be materially harmed, and the price of our common shares may decline significantly following announcement of an unsuccessful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Interim, topline and preliminary data from clinical trials of our product candidates that we or our collaborators publicly disclose from time to time may change as more patient data become available and are subject to audit and verification procedures that could result in final clinical data that is materially different and unfavorable.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or collaborators conducting clinical trials of our product candidates may publicly disclose interim, preliminary or topline data from those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preliminary and topline results reported for clinical trials of our product candidates may differ from final results of the same studies, or different conclusions or considerations may qualify such results, once additional data have been received and fully evaluated. Such data also remain subject to audit and verification procedures that may result in the final data being materially different from the preliminary data previously disclosed by us or a collaborator. As a result, preliminary and topline data should be viewed with reservation until the final data are available. From time to time, we or a collaborator may also disclose interim data from clinical trials of our product candidates. Interim data from clinical trials of our product candidates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those of our collaborators, or may interpret or weigh the importance of data differently, which could impact the value of the particular program, the approvability or commercialization of the particular product candidate or product and our company in general. In addition, the information we or a collaborator chooses to publicly disclose regarding a particular trial is based on what is typically extensive information, and you or others may not agree with what we or the collaborator determines is the material or otherwise appropriate information to include in the public disclosure, and any information we or the collaborator determines not to disclose may ultimately be deemed significant with respect to future decisions, conclusions, views, activities or otherwise regarding a particular product candidate or our business. If the topline data reported by us or a collaborator differ from actual results, or if others, including regulatory authorities, disagree with the conclusions reached, our ability, or that of a collaborator, to obtain approval for, and commercialize, our product candidates may be harmed, which could harm our business, operating results, prospects or financial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and supply of our cell therapy product candidates involve novel processes that are generally more complex than those required for small molecule drugs and accordingly present significant challenges and are subject to multiple risks. These complex processes involve the expansion and differentiating of pluripotent or embryonic stem cells to produce a master cell bank from which an indefinitely renewable working cell bank can be obtained in order to produce the desired cell product candidate. Reprograming pluripotent cells or establishing a line of cells from embryonic stem cells that can proliferate without differentiating and remain well characterized, including being free of potentially deleterious genetic mutations, is challenging and requires a significant amount of time and resources. The process requires significant expertise and capital investment, including in the development and validation of advanced manufacturing techniques and specific quality assurance and quality control procedures. As a result of the complexities involved, the cost to manufacture human cell-based biologics is generally higher than for traditional therapies and the manufacturing process is less reliable and more difficult to reproduce. In addition, our cost of goods development is at an early stage.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need to scale up our manufacturing operations to produce sufficient quantities of our cell therapy product candidates for later-stage clinical trials and potential commercialization, as we do not currently have the infrastructure or capability to manufacture sufficient quantities of each of our product candidates to support large clinical trials or commercialization, if approved. Currently, as described elsewhere in this Risk Factors section, we are entirely dependent on our subsidiary, CCN, and its manufacturing facility located in Israel for the manufacture and supply of our cell therapy product candidates. While that facility is designed and equipped to enable simultaneous cGMP processes and to produce a range of human cell therapy products for use in clinical trials, as well as at a scale suitable for commercial launch, gene and cell therapy product manufacturers often encounter difficulties in production, particularly in scaling up, validating initial production, ensuring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We are subject to those challenges. As a result of the complexities involved in manufacturing, the cost to manufacture our product candidates is generally higher than traditional small molecule chemical compounds and the manufacturing process is less reliable and more difficult to reproduce.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will need greater manufacturing capacity to support commercial development of all our product candidates. If we do not have sufficient capital to increase our internal manufacturing capabilities, we may need to rely on third-parties to manufacture and supply any products we develop and there is no assurance that we would be able to identify third parties capable of manufacturing our product candidates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still developing optimized and reproducible manufacturing processes for clinical and commercial-scale manufacturing of our product candidates. To date, we have not scaled the manufacturing processes with respect to any of our product candidates for commercialization. None of our manufacturing processes have been validated for commercial production of our product candidates. We may face multiple challenges as we scale up our manufacturing operations or transfer manufacturing operations to a strategic collaborator or other third-party manufacturer and, ultimately, we or such third party may not be successful as to one or more of our product candidates. These challenges include, among others, cost overruns, potential problems with process scale-up, process reproducibility, stability and purity issues, compliance with cGMP and cGTP, lot consistency and timely availability and quality of acceptable reagents and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 If we or a strategic collaborator or other third-party manufacturer are unable to scale production to the level required for commercialization, we or they may not be able to meet the requirements for the potential commercial launch or to meet potential future demand if any product candidates are approved for commercialization, which would have an adverse effect on our business, financial condition, results of operations and growth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processes for any products that we may develop and the facilities used to manufacture our product candidates are subject to FDA and foreign regulatory authority approval requirements, and we will need to meet, and any third party manufacturers we may rely on the future will need to meet, all applicable FDA and foreign regulatory authority requirements on an ongoing basis. We cannot provide assurance that the manufacturing processes we use or that any future third-party manufacturer uses, or the technologies incorporated into these processes, will result in viable or scalable yields of our product candidates that will have safety, purity, potency, and efficacy profiles acceptable to us, our partners or collaborators, including Roche, or regulatory authorities, or meet market demand. We may be required to identify alternative protocols, processes, raw materials, or facilities for the manufacture of any of our product candidates in compliance with applicable regulatory requirements. In addition, we may be required to increase our safety testing protocols for our product candidates. Any modifications to our manufacturing and supply protocols, processes, safety testing, materials or facilities, including as a result of transferring manufacturing operations to a strategic collaborator or other third-party manufacturer, and any delays in, or inability to, establish acceptable manufacturing and supply operations for our product candidates could require us to incur substantial additional development costs or result in significant delays to clinical development or regulatory approval of our product candidates. If we or any future third-party manufacturer is unable to reliably produce products to specifications acceptable to the FDA or other regulatory authorities, we or a collaborator may not obtain or maintain the regulatory approvals needed to commercialize our product candidates. Even if we or a collaborator obtains regulatory approval for any product candidates, there is no assurance that either we or any future third-party manufacturer will be able to manufacture the approved product to specifications acceptable to the FDA or other regulatory authorities, to produce it in sufficient quantities and on the requisite timelines to meet the requirements for the potential launch of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to meet potential future demand. Additionally, changes in regulatory requirements may require us or a third-party manufacturer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the cost of goods, and have an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developing cell therapy products is based on novel technologies that are unproven and may not result in approvable or marketable products, the lack of success, or perceived lack of success, of other companies developing or seeking to develop cell therapy products may adversely impact investor sentiment regarding our business and the market opportunities for our product candidates.</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or disruptions to our manufacturing operations could materially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make changes to the manufacturing operations or processes for our product candidates at various points during development, before or after commercialization, for various reasons, such as to control costs, achieve scale, decrease processing time, increase manufacturing success rate, or for other reasons, such as to transfer manufacturing responsibilities to a collaborator. Such changes, even seemingly minor changes, carry the risk that they will not achieve their intended objectives, and any of these changes could cause our product candidates to perform differently and affect the results of any then-ongoing clinical trials or future clinical trials, or the performance of the product. In certain circumstances, if changes are made to the manufacturing operations or process for a product candidate, the FDA or foreign regulatory authorities may require comparability studies to be performed and additional preclinical or clinical data to be collected prior to undertaking additional clinical trials or obtaining marketing approval for the product candidate, or if already on the market, prior to supplying any product produced with such modified process. For instance, if changes are made to the manufacturing process for a product candidate during the course of clinical development, regulatory authorities may require us or our collaborator to show the comparability of the product used in earlier clinical phases or earlier portions of a trial to the product used in later clinical phases or later portions of the trial. We or our collaborator may be unable to successfully generate comparability data, and even if such data is generated and provided, regulatory authorities may determine that the data are insufficient to support a determination of comparability which would result in additional testing, and could result in manufacturing delays and affect our ability, or that of our collaborator, to timely commence or complete clinical trials of our product candidate, which could delay further development or commercialization of such product candidate and may increase our development costs substantially and/or delay payments to us from a collaborator.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Currently, as described elsewhere in this Risk Factors section, we are entirely dependent on our subsidiary CCN and its manufacturing facility located in Israel for the manufacture and supply of our cell therapy product candidates, and events or conditions that disrupt operations at that facility could materially and adversely affect our business. In 2022, we announced the opening of a new research and development facility in Carlsbad, California to support the development of current and future allogeneic cell transplant programs. Utilization of this new facility for cGMP manufacturing of our product candidates will require significant additional investment, including hiring and retaining additional experienced scientific, quality control, quality assurance, and manufacturing personnel, which may be difficult given the intense competition for qualified personnel in our industry as described elsewhere in this Risk Factors section. Even if we have sufficient capital to complete the build-out and staffing of the Carlsbad facility, we will need to conduct significant development work to transfer our manufacturing processes to enable manufacturing of any product candidate in our Carlsbad facility. Transferring manufacturing testing and processes and know-how is complex and involves review and incorporation of both documented and undocumented processes that may have evolved over time. If, in the future we were to transfer manufacturing responsibilities to a collaborator, as we expect to do with OpRegen, or engage a third-party manufacturer to conduct any of the cGMP manufacturing for our product candidates, or any product, we would face similar and significant challenges in transferring manufacturing processes and know-how, which may delay the manufacture of clinical trial or commercial supplies and disrupt or delay clinical development of our product candidates. In addition, transferring production to different facilities may require utilization of new or different processes to meet the specific requirements of a given facility. We or our collaborator may be required to demonstrate the comparability of clinical material generated at any new facility with material previously produced and used in clinical testing. Any inability to manufacture comparable material by us, a collaborator, or any third-party manufacturer we may engage could delay the development and commercialization of our product candidates and may increase our development costs substantially.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are susceptible to product loss or reduced manufacturing success rates at various points during the manufacturing process, including quality issues due to contamination, equipment damage or failure, including during shipment or storage, failure of equipment to operate as expected, improper installation or operation of equipment,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any contaminants are discovered in a product candidate during production or clinical testing this could lead to the withdrawal of the product from clinical trials. Moreover, if the FDA or comparable foreign regulatory authorities determine that we or any future third-party manufacturer is not in compliance with applicable laws and regulations, including cGMPs and cGTPs, the FDA or comparable foreign regulatory authority may not approve a marketing application until the deficiencies are corrected or we or a collaborator replace the manufacturer in our application with a manufacturer that is in compliance, which may not be feasible on a timely basis at a reasonable cost, or at all. If we or any future third-party manufacturer fails to comply with applicable regulatory requirements, we or a collaborator may ultimately be unable to manufacture the product candidate. Any such failure could be the basis for the FDA to issue a warning letter or an untitled letter, withdraw approvals for product candidates previously granted to us, or take other regulatory or legal action, including recall or seizure of supplies of the product candidate, total or partial suspension of production, suspension of then-ongoing clinical trials, refusal to approve then-pending applications or supplemental applications, detention of product, refusal to permit the import or export of products, injunction or imposing civil and criminal penalties. The occurrence of any of these issues could result in product liability claims, delay or failure to commence or complete clinical development, obtain regulatory approval of or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manufacturing operations, and those of any third-party manufacturer on which we may rely, are also susceptible to disruption due to resource constraints, labor shortages, supply chain failures, public health emergencies, geopolitical conflict, war, acts of terrorism, political or economic instability or crises, natural disasters, and other reasons. Any adverse developments affecting manufacturing operations for any of our product candidates may result in shipment delays, inventory shortages, lot failures, product withdrawals or recalls, or other supply interruptions that could negatively impact the conduct of clinical trials or the commercialization of any product candidates for which we or a collaborator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which may not be available on a timely basis, or at all.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commercial success of any of our current or future product candidates will depend upon the degree of market acceptance by physicians, patients, third-party payors, other healthcare providers and others in the medical community.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 product candidate obtains regulatory approval, its commercial success will depend in part on physicians, patients, third-party payors, other healthcare providers and others in the medical community accepting our product candidates as medically useful, cost-effective, and safe. Any product candidate we or a collaborator brings to the market may not gain market acceptance by such parties. The degree of market acceptance of any of our product candidates will depend on several factors,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of the product as demonstrated in clinical trials and potential advantages over competing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approval is granted, including any limitations or warnings contained in a product’s approved labeling;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administration, including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including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patients and physicians to accept and use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marketing, sales and distribution support for the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publicity concerning our products or competing products and treatments;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availability of coverage and adequate reimbursement by third-party payors and government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product displays a favorable efficacy and safety profile upon approval, market acceptance of the product will be uncertain. Efforts to educate the medical community and third-party payors on the benefits of the products may require significant investment and resources and may never succeed. If our product candidates fail to achieve an adequate level of acceptance by physicians, patients, third-party payors, other healthcare providers and others in the medical community, we will not be able to generate sufficient revenue to become or remain profitable.</w:t>
      </w:r>
    </w:p>
    <w:p>
      <w:pPr>
        <w:pStyle w:val="TextBody"/>
        <w:bidi w:val="0"/>
        <w:spacing w:before="360" w:after="283"/>
        <w:jc w:val="both"/>
        <w:rPr>
          <w:rFonts w:ascii="Times New Roman" w:hAnsi="Times New Roman"/>
          <w:sz w:val="20"/>
        </w:rPr>
      </w:pPr>
      <w:r>
        <w:rPr>
          <w:rFonts w:ascii="Times New Roman" w:hAnsi="Times New Roman"/>
          <w:b/>
          <w:color w:val="000000"/>
          <w:sz w:val="20"/>
        </w:rPr>
        <w:t>If the market opportunities for our product candidates prove to be significantly smaller than we estimate, our business prospects may suffer</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projections of addressable patient populations within any particular disease state or condition that may benefit from treatment with our product candidates are based on our beliefs and estimates. Market opportunity estimates and growth forecasts are subject to significant uncertainty and are based on assumptions and estimates. Our estimates have been derived from a variety of sources, including market research and publications and scientific literature estimating the total number of potential patients and currently approved or used therapies. Our estimates are also based on assumptions regarding the potential size of the market assuming broad regulatory approval or potential usage by physicians beyond the approved label. Any of our estimates may prove to be incorrect. The scope of approval and potential use of any product candidate may be significantly narrower, and the number of patients may turn out to be lower than expected. Competitive products or approaches may be approved or come into use and achieve market penetration earlier than our products candidates. The potentially addressable patient population for each of our product candidates may be limited or may not be amenable to treatment with our product candidates, and new patients may become increasingly difficult to identify or gain access to. If any of our estimates proves to be inaccurate, the market opportunity for any of our product candidates could be significantly diminished, which would have an adverse material impact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face significant competition and the possibility that our competitors may develop therapies that are more effective, safer, more convenient, or less expensive than our product candidates. In addition, competitive products may be approved and successfully commercialized before ours, which may adversely affect our ability, or that of a strategic collaborator, to successfully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biotechnology and pharmaceutical industries, including the still emerging area of cell therapies, is intensely competitive and characterized by rapid and significant innovation. Any of our product candidates that obtains regulatory approval will face substantial competition based on many different factors, including its relative safety and efficacy, ease of administration for healthcare providers, convenience of use for patients, as well as the timing and scope of regulatory approvals for our product, the cost of manufacturing and whether sufficient quantities can be produced to meet demand, our marketing and sales capabilities or those of our collaborators, pricing, reimbursement coverage levels, and patent positions. Competing products could present superior treatment alternatives, including by being more effective, safer or easier or more convenient to administer, or may be less expensive for third-party payors or patients or marketed and sold more effectively than any products we may develop.</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include a variety of major pharmaceutical and biopharmaceutical companies and specialty pharmaceutical and biotechnology companies, as well as technology and therapeutics being developed at academic institutions and other public and private research institutions. Many of our competitors have greater financial and other resources, such as larger research and development staff, more experienced manufacturing organizations and facilities, and established sales and marketing organizations.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reasonable commercial terms or at all. Third parties are commercializing, have developed, are developing or may develop product candidates, platform technologies and processes that will compete with ours. Competitive therapeutic treatments may include those that have already been approved and accepted by the medical community and considered standard-of-care treatments, as well as novel treatments recently approved or that are currently in preclinical or clinical development and may obtain market penetration earlier than our products do. For example, in 2023, the FDA approved two therapies for the treatment of GA secondary to AMD, Apellis Pharmaceuticals, Inc.’s SYFOVRE® (pegcetacoplan injection) and </w:t>
      </w:r>
      <w:r>
        <w:rPr>
          <w:rFonts w:ascii="Times New Roman" w:hAnsi="Times New Roman"/>
          <w:caps/>
          <w:color w:val="000000"/>
          <w:sz w:val="20"/>
        </w:rPr>
        <w:t xml:space="preserve">Iveric </w:t>
      </w:r>
      <w:r>
        <w:rPr>
          <w:rFonts w:ascii="Times New Roman" w:hAnsi="Times New Roman"/>
          <w:color w:val="000000"/>
          <w:sz w:val="20"/>
        </w:rPr>
        <w:t xml:space="preserve">bio, Inc.’s IZERVAY (avacincaptad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pegol intravitreal solution), and these treatments became available to patients in the U.S. One or both of those products may obtain significant market penetration before OpRegen completes clinical development. Regulatory approval and/or the achievement of clinical or commercial success of one or more competing products or product candidates may reduce or eliminate the market for our product candidates. For additional information regarding our competition, see “Business—Competition” in Item 1 above. In addition, if one or more competing products fail to obtain regulatory approval or achieve clinical or commercial success and are perceived by regulators, healthcare providers, third-party payors or potential patients as comparable to our product candidates, our regulatory strategy could be impaired, our ability, or that of a collaborator, to obtain regulatory approval for our product candidates could be delayed or prevented, or the market for our product candidates may be reduced or eliminated.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Competitive products may make any product we develop obsolete or noncompetitive before we recover the expense of developing and commercializing the product. If we or our collaborators are unable to compete effectively, the products we may develop independently or in collaboration with a third party, if approved, may never achieve significant market share or generate significant revenue, which could adversely affect our business, prospects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face potential product liability, and, if successful claims are brought against us, we may incur substantial liability and costs. If the use or misuse of our products or product candidates harm patients or is perceived to harm patients even when such harm is unrelated to our products or product candidates, our regulatory approvals could be revoked, suspended or otherwise negatively affected, our reputation could suffer, and we could be subject to costly and damaging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the risk of incurring liabilities to clinical trial patients if they are injured as a result of their participation in clinical trials of our product candidates or products. We also face potential product liability for use or misuse of our products that obtain regulatory approval and are commercialized. In 2023, we settled a product liability lawsuit, which we determined was not material, relating to the use in a clinical trial of a product candidate that we are no longer developing and have no plans to pursue, and that is not related to the cell therapy candidates we currently are developing. See Note 13 (Commitments and Contingencies) to our consolidated financial statements included this report for additional information. We may not successfully defend any product liability claims made against us in the future. Product liability claims could delay or prevent completion of our clinical development programs. Such claims could result in FDA or other regulatory authority investigations of the safety of our product candidates or products, our manufacturing processes and facilities or our marketing programs. If any claims are made and if liability can be established, the amount of any liability we or our affiliates may incur, could exceed any insurance coverage in effect, and the amount of the liability could be material to our financial condition and operating results. In addition, even if we successfully defend against product liability claims, we could incur substantial costs in defending against claims and suffer significant reputational harm that negatively impacts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use or misuse of our product candidates in clinical trials and the sale of any products for which we obtain marketing approval exposes us to the risk of product liability claims. Product liability claims might be brought against us by those who use our product candidates in clinical trials, consumers, healthcare providers, pharmaceutical companies or others selling or otherwise coming into contact with our products. There is a risk that our product candidates or future products may induce adverse events. If we cannot successfully defend against product liability claims, we could incur substantial liability and costs. Legal proceedings are inherently uncertain and unpredictable and proceedings believed to be immaterial could prove to have a material adverse effect on our business, operating results and financial condition. Regardless of merit or eventual outcome, product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costs due to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complete development of or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marketed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maintain appropriate product liability insurance coverage at a reasonable cost or in sufficient amounts to protect us against losses due to product liability claims. If and when we obtain marketing approval for a product candidate and prior to commercial launch, we intend to expand our insurance coverage to include the sale of commercial products; however, we may be unable to obtain appropriate product liability insurance on commercially reasonable terms or in adequate amounts. Significant damages have been awarded in class action lawsuits based on drugs or medical treatments that had unanticipated adverse effects. A successful product liability claim or series of claims brought against us could cause the price of our common shares to decline and, if the amount of damages exceeds our insurance coverage, could adversely affect our results of operations and business.</w:t>
      </w:r>
    </w:p>
    <w:p>
      <w:pPr>
        <w:pStyle w:val="TextBody"/>
        <w:bidi w:val="0"/>
        <w:spacing w:before="360" w:after="283"/>
        <w:jc w:val="both"/>
        <w:rPr>
          <w:rFonts w:ascii="Times New Roman" w:hAnsi="Times New Roman"/>
          <w:sz w:val="20"/>
        </w:rPr>
      </w:pPr>
      <w:r>
        <w:rPr>
          <w:rFonts w:ascii="Times New Roman" w:hAnsi="Times New Roman"/>
          <w:b/>
          <w:color w:val="000000"/>
          <w:sz w:val="20"/>
        </w:rPr>
        <w:t>We currently have no marketing and sales force or distribution capabilities. If we are unable to establish effective internal capabilities or effectively collaborate with third parties to market and sell our product candidates, if approved, our ability to generate product revenue will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sales, or distribution capabilities because all of our cell therapy product candidates are in preclinical or early clinical development, or in OpRegen’s case, we have entered into an agreement whereby Roche has commercialization responsibility for the product, if approved. We will need to build on a territory-by-territory basis marketing, sales, distribution and supporting capabilities to commercialize any other product candidate that obtains regulatory approval, or selectively seek to enter into similar strategic collaborations or otherwise outsource these functions to one or more third parties such as contract sales organizations and distributors. There are significant risks involved if we decide to establish our own sales and marketing capabilities or enter into arrangements with third parties to perform these functions.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a commercialization collaborator devotes to our products or that a collaborator’s willingness or ability to complete its obligations may be adversely affected by business combinations or significant changes in the collaborator’s business strategy. If we are unable to enter into these arrangements when needed on acceptable terms, or at all, we may not be able to successfully commercialize any of our product candidates that receive regulatory approval, or any such commercialization may experience delays or limitations. Building our own sales and marketing team with technical expertise and supporting distribution capabilities, would require a significant capital investment and require significant attention of our senior management team to manage, and any failure or delay in the development of those internal sales, marketing and distribution capabilities would adversely impact the commercialization of any of our product candidates that obtain approval. If we are unable to develop adequate marketing and sales capabilities on our own or effectively partner with third parties, our ability to generate product revenue will suffer and we may incur significant additional losses, which would have a material adverse effect on our business, financial condition, and results of operations.</w:t>
      </w:r>
    </w:p>
    <w:p>
      <w:pPr>
        <w:pStyle w:val="TextBody"/>
        <w:bidi w:val="0"/>
        <w:spacing w:before="240" w:after="283"/>
        <w:jc w:val="center"/>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intellectual property may be insufficient to protect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and patent applications are directed to compositions of matter, formulations, methods of use and/or methods of manufacturing, as appropriate. In addition to patenting our own technology and that of our subsidiaries, we have licensed patents and patent applications for certain stem cell technologies, human pluripotent stem cells, and hES cell lines, and other technologies from other companies. We own or license, directly or through our subsidiaries, patent families that include several hundred U.S. and international patents and patent applications. We cannot be certain that issued patents will be enforceable or provide adequate protection or that pending applications will result in issued patents. In addition to the loss of patent protection due to expiration, from time to time, we assess our patents and pending applications covering our products and product candidates and if we determine that any patents or patent applications no longer provide adequate or necessary protection, we abandon such patents and patent applications to avoid incurring unnecessary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pharmaceutical and biotechnology companies, including ours, are generally uncertain and involve complex legal and factual questions. Our business could be negatively affected by any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claims of any patents that are issued may not provide meaningful protection, may not provide a basis for commercially viable products or may not provide us with any competitive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validity of our patents may be challenged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have patents of which we are not aware that relate to our technology or business that may prevent us from marketing our product candidates unless we are able to obtain a license to those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pending patent applications and the pending patent applications to which we have rights may not result in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to participate in interference/derivation proceedings or litigation to determine the right to a patent.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may have claims that are inadequate to protect our competitive position on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developing additional proprietary technologies that are patentable.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others may independently develop similar or alternative technologies, duplicate any of our technologies and, if patents are licensed or issued to us, design around the patented technologies licensed to or developed by us. Moreover, we could incur substantial costs in litigation if we have to defend ourselves in patent lawsuits brought by third parties or if we initiate such lawsuits and in other proceedings relating to the validity of our patents.</w:t>
      </w:r>
    </w:p>
    <w:p>
      <w:pPr>
        <w:pStyle w:val="TextBody"/>
        <w:bidi w:val="0"/>
        <w:spacing w:before="360" w:after="283"/>
        <w:jc w:val="both"/>
        <w:rPr>
          <w:rFonts w:ascii="Times New Roman" w:hAnsi="Times New Roman"/>
          <w:sz w:val="20"/>
        </w:rPr>
      </w:pPr>
      <w:r>
        <w:rPr>
          <w:rFonts w:ascii="Times New Roman" w:hAnsi="Times New Roman"/>
          <w:b/>
          <w:color w:val="000000"/>
          <w:sz w:val="20"/>
        </w:rPr>
        <w:t>Confidentiality agreements with employees and third parties may not prevent disclosure of trade secrets and other proprietary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inadvertent, by our current or former employees, consultants, collaborators, or those of third parties, including consultants and vendors that we engage to perform research, clinical trials, or manufacturing activities, or misappropriation by third parties (such as through a cybersecurity breach) of our trade secrets or proprietary or confidential information could enable competitors to duplicate or surpass our technological achievements and erode our competitive position in our market. Because we collaborate and expect to continue to collaborate with third parties in the development and manufacture of our product candidates, we may, at times, share trade secrets with them, which increases the possibility that our trade secrets will be misappropriated or disclosed.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Trade secrets and confidential information can be difficult to protect. We seek to protect our trade secrets, know-how, and confidential information, in part, by entering into confidentiality agreements with our employees, consultants, vendors, collaborators and other third parties. For example, we require our employees and consultants to execute confidentiality and invention assignment agreements upon accepting employment or entering into other relationships with us. We cannot guarantee that we have entered into such agreements with each party that may have or has had access to our trade secrets or proprietary or confidential information, including our technology and processes. We also implement internal policies and procedures to ensure protection of our proprietary confidential information including know-how and trade secrets through, for example, limited and restricted confidential access to this information. Although we use reasonable efforts and employ reasonable means to protect our trade secrets and confidential information, our employees, consultants, vendors, collaborators and other third parties might intentionally or inadvertently disclose such information to competitors or other third parties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 documentation or information contained therein available to the public. If we are unable to or otherwise fail to take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advantage of any opportunity to protect trade secrets or other confidential information, our competitors could use such information to compete with us, which would significantly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If we are unable to obtain and enforce patents and to protect our trade secrets, others could use our technology to compete with us, which could limit opportunities for us to generate revenues by licensing our technology and selling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will depend in part on our ability to obtain and enforce patents and maintain trade secrets in the United States and in other countries. If we are unsuccessful at obtaining and enforcing patents or maintaining trade secrets, our competitors could use our unpatented technology or trade secrets and create products that compete with our products, without paying license fees or royalties to us. The preparation, filing, prosecution and maintenance of patent applications and patents can be costly and time consuming. Our limited financial resources may not permit us to pursue patent protection of all of our technology and products in all key markets. Even if we are able to obtain issued patents covering our technology or products, we may have to incur substantial legal fees and other expenses to enforce our patent rights to protect our technology and products against infringers.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have the financial resources to finance the litigation required to preserve our patent and trade secret rights.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This means that patents owned or licensed by us, or our trade secrets, may be lost if the outcome of a proceeding is unfavorable to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certainty that our pending or future patent applications will result in the issuance of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part on our ability to obtain, protect and defend patent and other intellectual property rights such as trade secrets that are important to the commercialization of our products and product candidates. The degree of patent protection and trade secret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or trade secret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patented technologies and trade secrets, we will not derive the benefit from them that we currently expect. Furthermore, we can provide no assurance that our products will not infringe patents or other intellectual property rights held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there is uncertainty about the eligibility of hES cell subject matter for patent protection. The European Patent Convention prohibits the granting of European patents for inventions that concern “uses of human embryos for industrial or commercial purposes.” A recent decision at the Court of Justice of the EU interpreted parthenogenetically produced hES cells as patentable subject matter. Consequently, the European Patent Office now recognizes that human pluripotent stem cells (including human ES cells) can be created without a destructive use of human embryos as of June 5, 2003, and patent applications relating to hES cell subject matter with a filing and priority date after this date are no longer automatically excluded from patentability under Article 53 (a) EPC and Rule 28(c) EPC.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 we may develop using grants received from governmental entities are subject to rights maintained by those governments.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we perform that is funded by grants from governmental entities and any intellectual property that we create using those grants may be subject to certain rights of the governmental entities to require that we license or grant rights to the intellectual property developed using that funding in certain circumstances.</w:t>
      </w:r>
    </w:p>
    <w:p>
      <w:pPr>
        <w:pStyle w:val="TextBody"/>
        <w:bidi w:val="0"/>
        <w:spacing w:before="360" w:after="283"/>
        <w:jc w:val="both"/>
        <w:rPr>
          <w:rFonts w:ascii="Times New Roman" w:hAnsi="Times New Roman"/>
          <w:sz w:val="20"/>
        </w:rPr>
      </w:pPr>
      <w:r>
        <w:rPr>
          <w:rFonts w:ascii="Times New Roman" w:hAnsi="Times New Roman"/>
          <w:b/>
          <w:color w:val="000000"/>
          <w:sz w:val="20"/>
        </w:rPr>
        <w:t>We may become subject to claims for remuneration or royalties for assigned service invention rights by our employees, which could result in litigation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agreements with our employees pursuant to which they agree that any inventions created in the scope of their employment are assigned to us or owned exclusively by us, without the employee retaining any rights. A significant portion of our intellectual property has been developed by our employees and CCN's employees in the course of their employment. Under the Israeli Patent Law, 5727-1967 (the “Patent Law”), inventions conceived by an employee during the scope of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a body constituted under the Patent Law, shall determine whether the employee is entitled to remuneration for his or her inventions. Previous decisions by the Israeli Compensation and Royalties Committee have created uncertainty in this area regarding whether the right to receive remuneration for service inventions can be voluntarily waived by an employee and whether such waiver is enforceable. In addition, the Committee determined that even if such right to receive compensation and royalties for service inventions may be waived, the waiver should be specific. Subsequent court cases have not provided significant clarity on these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Israeli Supreme Court noted (in an obiter dictum) in 2012, without making any decisive ruling, that an employee who contributes to an invention during his employment could be allowed to seek compensation for it from their employer, even if the employee’s contract of employment specifically states otherwise and the employee has transferred all intellectual property rights to the employer. The Israeli Supreme Court considered the possibility that a contract that revokes the employee’s right for royalties and compensation may not necessarily foreclose the right of the employee to claim a right for royalties. As a result, even if we believe that none of our employees has any rights in any of our intellectual property, or to receive royalties, it is unclear if, and to what extent, our employees may be able to claim compensation with respect to our future revenue. As a result, we may receive less revenue from future products if such claims are successful, or incur additional royalty expenses, which in turn could impact our future profitability.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There is no certainty that we will be able to obtain licenses to intellectual property rights owned by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assurances that any of our intellectual property rights will guarantee protection or market exclusivity for our products and product candidates. In such cases, we may need to obtain enabling licenses from third parties to protect our products and product candidates, try to secure market exclusivity or avoid infringing on the intellectual property rights of third parties. If we are unable to fully protect our product candidates or achieve market exclusivity for our products and product candidates, our financial success will be dependent, in part, on our ability to protect and enforce our intellectual property rights, and to operate without infringing upon the proprietary rights of others by obtaining enabling 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example, Astellas’ patent portfolio with respect to the manufacture of its RPE products could adversely impact our rights to manufacture or commercialize OpRegen. Moreover, we could incur substantial costs in litigation if we have to defend ourselves in patent lawsuits brought by third parties or if we initiate such lawsuits. We may also face competition from companies that have filed patent applications or have obtained patents relating to the propagation and differentiation of stem cells. Those companies include Ocata, which in 2015 had certain U.S. patents issue with claims directed to methods of producing RPE cells and isolating and purifying such cells. We may be required to seek licenses from these competitors in order to commercialize certain products proposed by us, and such licenses may not be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inter partes review, post-grant review, and reexamination proceedings before the U.S. Patent and Trademark Office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 may become dependent on possible future collaborations to develop and commercialize many of our product candidates and to provide the regulatory compliance, sales, marketing and distribution capabilities required for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various kinds of collaborative research and development and product marketing agreements to develop and commercialize our product candidates. The expected future milestone payments and cost reimbursements from collaboration agreements could provide an important source of financing for our research and development programs, thereby facilitating the application of our technology to the development and commercialization of our products, but there are risks associated with entering into collaboration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elsewhere in this Risk Factors section, we are dependent on our collaboration with Roche to develop and commercialize OpRegen, and we could become dependent upon one or more possible future collaborative arrangements. A collaborative arrangement upon which we might depend might be terminated by our collaboration partner or a partner might determine not to actively pursue the development or commercialization of our products. Termination of a collaboration agreement by a collaboration partner could dissuade other organizations from collaborating with us and negatively impact our ability to enter into new collaborations or achieve favorable collaboration terms. A collaboration partner also may not be precluded from independently pursuing competing products and drug delivery approaches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risk that a collaboration partner might fail to perform its obligations under the collaborative arrangements or may be slow in performing its obligations, or that we have a dispute that harms our working relationship and requires significant resources to resolve, or that we are unable to resolve on our own, resulting in costly legal proceedings. In addition, a collaboration partner may experience financial difficulties at any time that could prevent it from having available funds to contribute to the collaboration. If a collaboration partner fails to conduct its product development, commercialization, regulatory compliance, sales and marketing or distribution activities successfully and in a timely manner, or if it terminates or materially modifies its agreements with us, the development and commercialization of one or more product candidates could be delayed, curtailed or terminated because we may not have sufficient financial resources or capabilities to continue such development and commercialization on our own.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do not have the ability to independently conduct clinical trials required to obtain regulatory approvals for our product candidates and we rely on third parties over whom we have limited control to perform important clinical and preclinical development activities for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rely, and plan to continue to rely, on third parties such as CROs, data management companies, contract clinical research associates, medical institutions, clinical investigators and contract laboratories to assist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development and conduct clinical trials of our product candidates and we may encounter challenges or delays in our development programs as a result of this reliance. Because these third parties are not our employees, we have limited control over whether or not they devote sufficient time and resources on our programs. Due to our reliance on these third parties, we may not directly control the timing, conduct and expense of our clinical trials. Changing or adding additional CROs involves additional cost and requires management time and attention. In addition, there is a natural transition period when a new CRO commences work. As a result, delays may occur that could negatively impact our ability to meet our anticipated clinical development timelines. If the third parties we engage fail to perform their contractual duties or regulatory obligations or fail to meet expected deadlines, if they need to be replaced or if the quality or accuracy of the data they obtain is compromised due to failing to adhere to our clinical protocols or regulatory requirements or for other reasons, our preclinical development activities or clinical trials may be extended, delayed, suspended or terminated, and we may not obtain regulatory approval for or successfully commercialize our product candidates.</w:t>
      </w:r>
    </w:p>
    <w:p>
      <w:pPr>
        <w:pStyle w:val="TextBody"/>
        <w:bidi w:val="0"/>
        <w:spacing w:before="360" w:after="283"/>
        <w:jc w:val="both"/>
        <w:rPr>
          <w:rFonts w:ascii="Times New Roman" w:hAnsi="Times New Roman"/>
          <w:sz w:val="20"/>
        </w:rPr>
      </w:pPr>
      <w:r>
        <w:rPr>
          <w:rFonts w:ascii="Times New Roman" w:hAnsi="Times New Roman"/>
          <w:b/>
          <w:color w:val="000000"/>
          <w:sz w:val="20"/>
        </w:rPr>
        <w:t>We obtain reagents and specialized materials and equipment required for the manufacture of our cell therapy product candidates from third-party manufacturers and suppliers, which include, in some instances, sole source manufacturers and suppliers. The loss of these suppliers, or their failure to provide us with sufficient key materials or equipment on a timely basis at an acceptable cost, or at all, could materially and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manufacture of our cell-based product candidates depends on the availability of reagents and specialized materials and equipment which are required to be acceptable to the FDA and applicable foreign regulatory authorities, and such reagents, materials, and equipment may not be available to us on acceptable terms or at all. We rely on third-party suppliers for key components required for the manufacture of our product candidates, including in some cases, sole source manufacturers and suppliers, and we currently do not have long-term commitments or supply agreements to obtain certain of these components.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reagents in our manufacturing processes, some of which are manufactured or supplied by small companies with limited resources and experience with respect to supporting clinical or commercial biologics production. We currently depend on a limited number of vendors for certain materials and equipment used in the manufacture of our product candidates. Some of these suppliers may not have the capacity to support manufacturing of products under cGMP or may otherwise be ill-equipped to support our needs, particularly as we scale up our manufacturing processes. Reagents and other key materials from these suppliers may have inconsistent attributes and introduce variability into our manufactured process and possibly into product candidates, which may contribute to variable patient outcomes and possible adverse events. We do not have long-term commitments or supply agreements with many of these suppliers and may not be able to enter into supply contracts with them on acceptable terms or at all. Accordingly, we may experience delays in receiving key materials and equipment to support our clinical, and ultimately commercial, manufacturing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some of the reagents, materials, and equipment we require, we currently rely and may in the future rely on sole source suppliers or a limited number of suppliers. We may be unable to continue to source reagents, materials, or equipment from any of these suppliers for various reasons, including due to regulatory actions or requirements affecting a supplier, adverse financial or other strategic developments experienced by a supplier, labor disputes or shortages, unexpected demands from other customers and supply limitations, or quality issues. We cannot be sure that these suppliers will remain in business, or that they will not be purchased by one of our competitors or another company that is not interested in continuing to supply us with these materials in sufficient quantities, on acceptable terms, or at all. The lead time needed to establish a relationship with a new supplier who has access to the required raw materials can be lengthy. The time and effort to identify and qualify a new supplier could result in additional costs, diversion of resources, or reduced manufacturing yields, any of which may negatively impact our business. Additionally, due to global geopolitical, economic, and other factors beyond our control, there has been, and there may continue to be, a shortage of key materials and equipment that are necessary to manufacture our product candidates, including certain consumables such as bags, flasks, and pipette tips, which has affected and may continue to affect our ability to obtain the materials and equipment necessary to manufacture our product candidates and increased our research and development costs. Failures or difficulties faced at any level of our supply chain could delay or impede the development and commercialization of our product candidates and adversely affect our business, financial condition and results of operations. In light of the unpredictable nature of the current economic climate, it may be increasingly difficult for us to predict and control our future expenses for the reagents, materials,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equipment we require to manufacture our product candidates. If any of the foregoing events were to occur, we may experience significant delays in manufacturing our product candidates, and in turn, in the commencement and completion of preclinical development and testing or clinical trials and potential regulatory approval of our product candidates, which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clinical development of our product candidates and harm our business.</w:t>
      </w:r>
    </w:p>
    <w:p>
      <w:pPr>
        <w:pStyle w:val="TextBody"/>
        <w:bidi w:val="0"/>
        <w:spacing w:before="360" w:after="283"/>
        <w:jc w:val="both"/>
        <w:rPr>
          <w:rFonts w:ascii="Times New Roman" w:hAnsi="Times New Roman"/>
          <w:sz w:val="20"/>
        </w:rPr>
      </w:pPr>
      <w:r>
        <w:rPr>
          <w:rFonts w:ascii="Times New Roman" w:hAnsi="Times New Roman"/>
          <w:b/>
          <w:color w:val="000000"/>
          <w:sz w:val="20"/>
        </w:rPr>
        <w:t>In some cases, specialized delivery systems or devices may be used to administer our cell therapy product candidates, and we may rely on third parties to manufacture and supply those systems or devices and provide us with intellectual property rights to develop and commercialize them with our cell therapies, if approved. If we are not able to obtain those systems or devices in quantities needed in accordance with our quality standards and regulatory requirements and at acceptable costs, or at all, or those systems or devices fail to perform as expected, clinical development and possible regulatory approval of our product candidates may be significantly delayed and more expensive than anticipated and our business may suffer.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administration of certain of our cell therapy product candidates requires invasive surgical procedures. We may seek to improve the accuracy or reduce the complexity, risk and variability of administering of our cells to the targeted site in the human body by integrating into the surgical procedures specialized delivery systems or devices developed, manufactured and supplied by third parties. For example, we believe a novel parenchymal spinal delivery system developed by a third party could improve usability and precision in administering OPC1 to the injury site in the spinal cord, hence we entered into an exclusive option and license agreement with that third party, Neurgain, to collaborate on the clinical testing of the device for OPC1 and will evaluate the safety and utility of the device to deliver OPC1 in the DOSED clinical study. To the extent we collaborate with third parties for specialized delivery systems or devices for administration of our product candidates, we may become dependent on those third parties and their contract manufacturers and suppliers not only for rights to use those systems or devices, but also for the manufacture and supply of those systems or devices in sufficient quantities and at acceptable quality levels and costs for our clinical trials, and ultimately to potentially market and sell them with our product candidates, if approved. Our dependence on such third parties is subject to a multitude of risks, including these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might not manufacture in a timely manner the device, systems or components in the quantity or quality required to meet our clinical trial needs and, if approved, commercial needs.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perform as agreed, may terminate their agreements, or may not remain in the contract manufacturing business for the time required to supply our clinical trials or to successfully produce, store and distribute on a commercial scale,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produce the systems or devices in accordance with applicable regulatory requirements, and their processes or facilities may fail inspection by the FDA or corresponding state or foreign regulatory agencies. We will not have control over their compliance with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not obtain or maintain intellectual property rights necessary for the development, manufacture and, if approved, commercialization of the systems or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or their third-party manufacturers may experience manufacturing difficulties as a result of resource constraints, labor shortages, supply chain failures, public health emergencies, cyberattacks, geopolitical conflict, wars, acts of terrorism, political or economic instability or crises, natural disasters, or other events outside of their control or the control of their third-party manufacturers. This may result in business closures that adversely affect our ability to obtain clinical or commercial supplies as needed.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product liability exposure arising out of use of the systems or devices to administer our product candidates in clinical trials or, if approved, for commercial use, and our insurance may not cover all potential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such third-party collaborator or their contract manufacturers or suppliers were to encounter any of these difficulties, our ability to commence and conduct clinical trials of certain of our cell therapy product candidates on communicated timelines, or at all, could be jeopardized. These third-party collaborators and their contract manufacturers and suppliers would also be subject to many of the same risks we face in developing our own manufacturing capabilities, as described elsewhere in these Risk Factors. Any delay or interruption in the supply of clinical trial supplies could delay the completion of clinical trials, increase the costs associated with maintaining clinical trial programs and, depending upon the period of delay, could require us to either conduct additional clinical trials at additional expense or terminate clinical trials completely. Each risk could delay our clinical trials, any potential approval of our product candidates by the FDA, or the commercialization of our product candidates, and could result in higher costs or deprive us of potential product revenue.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Pertaining to Our Common Shares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market price of our common shares has been and may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our common shares has been and is likely to continue to be highly volatile. The stock market in general, and biotechnology companies in particular, especially small cap and microcap companies, have experienced extreme price and volume fluctuations that have often been unrelated or disproportionate to their operating performance. Broad market and industry factors may negatively affect the market price of our common shares, regardless of our actual operating performance, financial condition or progress in development of our product candidates. The market price for our common stock may be influenced by a variety of factors, some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progress or completion of clinical trials of our product candidates, OpRegen in particular, as to which Roche has sole discretion and control over its clinical development, or other changes in the development status of or anticipated development timeline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and nonclinical studies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and manufacturing requirements for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concerning the manufacture or supply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 or third-party product candidates perceived to be similar;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submissions related to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relating to our product candidates or third-party product candidates perceived to be similar or competitive to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establish or maintain important collaborations and license agreements, including any material disputes or amendments;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strategic collaborations or significant licenses, acquisitions or dispositions, joint ventures or capital commitments by us or companies perceived to be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 and the level of expenses related to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shares by us, our insiders or other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 of companies perceived to be comparable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variations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policies and practices or material weakness or ineffectiveness of our internal controls or disclosure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our auditor or termination of an auditor engagement;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and trade secrets, or other avenues of market exclusivity for our product candidates or products and product candidates perceived to be competitive to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intellectual property, product liability or shareholder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 of research reports about us or our industry, or cell therapies in particular, or positive or negative recommendations or withdrawal of research coverage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potential suspension of trading or delisting of our common shares by stock exchanges.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or exclusion of our common shares in or from stock indices such as the Russell 3000® Index;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business disruptions caused by natural or man-made disasters, prolonged public health emergencies, wars and other armed conflicts, and regional instability, including in and around Ukraine and Israel;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biotechnology sector and general political and economic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described in this Risk Factors section.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their shares. This type of litigation, if instituted against us, could result in substantial costs and a diversion of our management’s attention and resources, which could materially and adversely affect our business and financial condition.</w:t>
      </w:r>
    </w:p>
    <w:p>
      <w:pPr>
        <w:pStyle w:val="TextBody"/>
        <w:bidi w:val="0"/>
        <w:spacing w:before="360" w:after="283"/>
        <w:jc w:val="both"/>
        <w:rPr>
          <w:rFonts w:ascii="Times New Roman" w:hAnsi="Times New Roman"/>
          <w:sz w:val="20"/>
        </w:rPr>
      </w:pPr>
      <w:r>
        <w:rPr>
          <w:rFonts w:ascii="Times New Roman" w:hAnsi="Times New Roman"/>
          <w:b/>
          <w:color w:val="000000"/>
          <w:sz w:val="20"/>
        </w:rPr>
        <w:t>Because we do not intend to pay cash dividends, our common shares may not be a suitable investment for anyone who needs to earn dividend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pay cash dividends on our common shares. For the foreseeable future, we anticipate that any earnings generated in our business will be used to finance the growth of our business and will not be paid out as dividends to holders of our common shares. This means that any return to our shareholders will be limited to the appreciation of their shares and, therefore, our common shares may not be a suitable investment for anyone who needs to earn dividend income from their investments.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Insiders continue to have substantial influence over our company, which could limit your ability to influence the outcome of key transactions, including a 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directors, executive officers and their affiliates, in the aggregate, owned approximately 19.3% of our outstanding common shares as of December 31, 2024 and approximately 22.1% of our outstanding common shares as of March 4, 2025 as a result of the purchase by Broadwood Partners in our registered direct offering we announced in November 2024. As a result, these shareholders, if acting together, will be able to heavily influence or control matters requiring approval by our shareholders, including the election of directors and the approval of mergers, acquisitions or other extraordinary transactions. They may also have interests that differ from yours and may vote in a way with which you disagree, and which may be averse to your interests. This concentration of ownership may have the effect of delaying, preventing or deterring a change of control of our company, could deter certain public investors from purchasing our common shares and might ultimately affect the market price of our common shares.</w:t>
      </w:r>
    </w:p>
    <w:p>
      <w:pPr>
        <w:pStyle w:val="TextBody"/>
        <w:bidi w:val="0"/>
        <w:spacing w:before="360" w:after="283"/>
        <w:jc w:val="both"/>
        <w:rPr>
          <w:rFonts w:ascii="Times New Roman" w:hAnsi="Times New Roman"/>
          <w:sz w:val="20"/>
        </w:rPr>
      </w:pPr>
      <w:r>
        <w:rPr>
          <w:rFonts w:ascii="Times New Roman" w:hAnsi="Times New Roman"/>
          <w:b/>
          <w:color w:val="000000"/>
          <w:sz w:val="20"/>
        </w:rPr>
        <w:t>If we or our subsidiaries issue additional common shares or preferred shares, investors in our common shares may experience dilution of their ownership interests.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subsidiaries may issue additional common shares or other securities convertible into or exercisable for common shares to raise additional capital or to hire or retain employees or consultants, or in connection with future acquisitions of companies or licenses to technology or rights, in settlement of lawsuits, or for other business purposes. The issuance of additional securities may be dilutive to our shareholders and may create downward pressure on the trading price of our common shares. For example, in November 2024 we announced a registered direct offering of 39,473,688 of our common shares and accompanying warrants to purchase an aggregate of up to 39,473,688 of our common shares. That offering closed in two tranches: one in November 2024 and another in January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articles of incorporation, as amended, authorize us to issue an aggregate of 452,000,000 shares of capital stock consisting of 450,000,000 common shares and 2,000,000 “blank check” preferred shares, which means we may issue, without shareholder approval, one or more series of preferred shares having such designation, powers, privileges, preferences, including preferences over our common shares respecting dividends and distributions, terms of redemption and relative participation, optional, or other rights, if any, of the shares of each such series of preferred shares and any qualifications, limitations or restrictions thereof, as our board of directors may determine. The terms of one or more series of preferred shares could dilute the voting power or reduce the value of our common shares. Any preferred shares may also be convertible into common shares on terms that would be dilutive to holders of common shares. Our subsidiaries may also issue their own preferred shares with a similar impact on our ownership of the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we had 26,725,294 common shares reserved for issuance upon the exercise of outstanding options and 501,032 common shares reserved for issuance upon the vesting and settlement of restricted stock units awarded under our equity incentive plans. The exercise of outstanding options and vesting and settlement of outstanding restricted stock units would be dilutive to our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used “at the market” (“ATM”) offerings of our common shares to raise substantial capital. For information regarding such sales of our common shares see “At the Market (‘ATM’) Offering” in Note 10 (Shareholders’ Equity) to our consolidated financial statements included in this report. We may continue to use ATM offerings to fund our operations. As of March 4, 2025, $39.97 million was available for sale under our ATM offering program. Additional sales of our common shares in our ATM offering may result in substantial dilution to our existing shareholders and such sales, or the anticipation of such sales, may cause the market price of our common shares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operation of some of our subsidiaries has been financed in part through the sale of shares of capital stock and warrants to purchase securities of those subsidiaries to private investors. Future sales of such securities by our subsidiaries could reduce our ownership interest in the applicable subsidiary, and correspondingly dilute our shareholders’ ownership interests in our consolidated enterprise.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issuance of common shares upon exercise of warrants would cause immediate and substantial dilution to existing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elsewhere in this report, we issued warrants to purchase an aggregate of up to 41,447,372 of our common shares in connection with our November 2024 registered direct offering. Warrants to purchase up to 39,473,688 of our common shares have an exercise price of $0.91 per share and warrants to purchase up to 1,973,684 of our common shares have an exercise price of $0.95 per share, in each case, subject to customary adjustments. The warrants become exercisable beginning May 21, 2025 and will expire on the earlier of (a) May 21, 2028 and (b) the 90th day following the date of the public disclosure of the intent to advance OpRegen® (also 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issuance of common shares upon exercise of these warrants will result in dilution to the ownership interests of other shareholders. Although warrants to purchase up to 33,552,635 of our common shares have a beneficial ownership limitation provision providing that the holder may not exercise any portion of its warrant if the holder,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together with its affiliates, would beneficially own in excess of 4.99% (or 9.99% if the holder so elected prior to the issuance of the warrant) of the number of our common shares outstanding immediately after giving effect to such exercise, this provision does not prevent such holder from exercising a portion of their warrants, selling those shares, and then exercising additional portions of their warrants, while still staying below the beneficial ownership cap percentage. By doing so, the holder could sell more of our common shares than the beneficial ownership cap percentage. In addition, upon 61 days’ prior notice to us, the warrant holder may increase or decrease the beneficial ownership cap percentage, provided that the beneficial ownership limitation percentage may not exceed 9.99%. Furthermore, the operation of the beneficial ownership limitation provision may not allow a warrant to be exercised in full at a time when it would otherwise required to be exercised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availability for public resale of our common shares issued upon exercise of the warrants, the perception that such sales could occur, or any actual resales of such shares could adversely affect the market price of our common shares. We cannot predict the extent to which the warrants will be exercised or the effect, if any, that future issuances and sales of our common shares may have on the market price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common shares issuable upon exercise of the warrants represent overhang that may adversely affect the market price of our common shares. Overhang occurs when there is a greater supply of a company’s stock in the market than there is demand for that stock. When this happens the price of the stock may decrease, and any additional shares which shareholders attempt to sell in the market may only further decrease the market price of the shares. In addition, if the trading volume of our common shares cannot absorb shares sold by holders of the warrants, then the market price of our common shares may also decrease.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There is no assurance that we will be able to maintain compliance with the NYSE American’s continued listing standards, and failure to do so could result in the suspension of trading or delisting of our common shares, which could substantially impair our shareholders’ ability to sell their shares and our ability to raise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To maintain our listing, we must satisfy several continued listing standards, including financial condition and/or operating results standards, market value and distribution standards, a low selling price standard, and corporate governance standards. For example, for as long as we have net losses for our five most recent fiscal years, the exchange may consider delisting our common shares if our shareholders’ equity is less than $6 million, and under the low selling price standard, if the exchange determines our common shares have been selling at levels viewed to be abnormally low, which we believe is a trading price below $0.10, the exchange can commence delisting proceedings and immediately suspend trading in our common shares. In addition, any developments which substantially reduce the size of our company, the nature and scope of our operations, the value or amount of our securities available for the market, or the number of shareholders, may occasion a review of continued listing by the exchange. We cannot assure you that we will be able to continue to meet the NYSE American’s continued listing requirements.</w:t>
      </w:r>
    </w:p>
    <w:p>
      <w:pPr>
        <w:pStyle w:val="TextBody"/>
        <w:bidi w:val="0"/>
        <w:spacing w:before="240" w:after="283"/>
        <w:jc w:val="both"/>
        <w:rPr>
          <w:rFonts w:ascii="Times New Roman" w:hAnsi="Times New Roman"/>
          <w:sz w:val="20"/>
        </w:rPr>
      </w:pPr>
      <w:r>
        <w:rPr>
          <w:rFonts w:ascii="Times New Roman" w:hAnsi="Times New Roman"/>
          <w:color w:val="000000"/>
          <w:sz w:val="20"/>
        </w:rPr>
        <w:t>The suspension or delisting of our common shares, or the commencement of delisting proceedings, for whatever reason could, among other things, substantially impair our ability to raise additional capital; result in the loss of interest from institutional investors, result in restrictions or prohibitions on brokers from trading in our common shares, result in the loss of confidence in our company by shareholders, collaborators and employees, and result in fewer financing, strategic and business development opportunities. The suspension or delisting of our common shares, or the commencement of delisting proceedings for whatever reason may materially impair our shareholders’ ability to buy and sell shares of our common shares and could have an adverse effect on the market price of, and the efficiency of the trading market for, our common shares. In addition, our common shares have been included in the Russell 3000</w:t>
      </w:r>
      <w:r>
        <w:rPr>
          <w:rFonts w:ascii="Times New Roman" w:hAnsi="Times New Roman"/>
          <w:color w:val="000000"/>
          <w:sz w:val="13"/>
        </w:rPr>
        <w:t>®</w:t>
      </w:r>
      <w:r>
        <w:rPr>
          <w:rFonts w:ascii="Times New Roman" w:hAnsi="Times New Roman"/>
          <w:color w:val="000000"/>
          <w:sz w:val="20"/>
        </w:rPr>
        <w:t xml:space="preserve"> Index from time to time. In the short term, inclusion in the index may favorably impact the price, trading volume, and liquidity of our common shares, in part, because holders attempting to track the composition of that index may have been required to buy our common shares, which could cause a material increase in the price at which our common shares trades. As of the filing date of this report, the trading price of our common shares is below the minimum required for inclusion in the Russell 3000</w:t>
      </w:r>
      <w:r>
        <w:rPr>
          <w:rFonts w:ascii="Times New Roman" w:hAnsi="Times New Roman"/>
          <w:color w:val="000000"/>
          <w:sz w:val="13"/>
        </w:rPr>
        <w:t xml:space="preserve">® </w:t>
      </w:r>
      <w:r>
        <w:rPr>
          <w:rFonts w:ascii="Times New Roman" w:hAnsi="Times New Roman"/>
          <w:color w:val="000000"/>
          <w:sz w:val="20"/>
        </w:rPr>
        <w:t>Index. If our common shares are removed from the index because they do not meet the criteria for continued inclusion, including due to too low of a trading price, index funds, institutional investors, or other holders attempting to track the composition of that index may be required to sell our common shares, which would adversely impact the price and frequency at which our common shares trade.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negatively affected as a result of actions of activist shareholders, and such activism could affect the trading value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Shareholders may, from time to time, engage in proxy solicitations or advance shareholder proposals, or otherwise attempt to effect changes and assert influence on our board of directors and management, and the SEC’s “universal proxy” rules could significantly lower the cost and increase the ease and likelihood of shareholder activism.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collaboration partners, any of which could adversely affect our business and operating results. If individuals are ultimately elected to our board of directors with a specific agenda, it may adversely affect our ability to effectively implement our current business strategy. We may choose to initiate, or may become subject to, litigation as a result of a proxy contest or matters arising from a proxy contest, which would serve as a further distraction to our board of directors and management and would require us to incur significant additional costs. In addition, actions such as those described above could cause significant fluctuations in the price of our common shares based upon temporary or speculative market perceptions or other factors that do not necessarily reflect the underlying fundamentals and prospects of our business. Furthermore, the trading value of and demand for our common shares could be adversely affected by allegations made or reports issued by short sellers, analysts, activists or others regarding our business, further influencing volatility in the market price of our common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Securities analysts may not initiate coverage or continue to cover our common shares, and this may have a negative impact on the market price of our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shares depends, in part, on the research and reports that securities analysts publish about our business and our common shares. We do not have any control over these analysts. Although certain securities analysts currently cover us and our common shares, there is no guarantee that such analysts will continue to provide such coverage or that other analysts will initiate such coverage. If securities analysts do not cover us and our common shares and/or fail to publish regular reports on our business, we could lose visibility in the financial markets, which could cause our share price or trading volume to decline. If securities analysts do cover us and our common shares, they could issue reports or recommendations that are unfavorable to the price of our common shares, and they could downgrade a previously favorable report or recommendation, and in either case our share price could decline as a result of the report.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color w:val="000000"/>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processing) personal data and other sensitive information, including data we collect about trial participants in connection with clinical trials. As a result, we are, or may become, subject to numerous data privacy and security requirements related to data privacy, security, protection and transfer under federal, state, local, and foreign laws, regulations, guidance, and industry standards. See Item 1. "Business—Government Regulation—Privacy and Data Security Laws,” above. These requirements may be subject to differing applications and interpretations, which may be inconsistent or conflict among jurisdictions. Preparing for and complying with these requirements requires significant resources and may necessitate changes to our information technologies, systems, and practices and to those of any third parties that process personal data on our behalf.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or our personnel or third parties upon whom rely, fail, or are perceived to have failed, to address or comply with applicable data privacy, security, protection and transfer requirements, we could face significant consequences.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In the United States, privacy and security obligations are often enforced under deceptive and unfair trade practice laws, using theories that a company’s activities were either misleading or unfair.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and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information technology systems and infrastructure to operate our business. In the ordinary course of our business, we may process confidential, and sensitive, including personal data (such as health-related data), intellectual property, and proprietary business information (collectively, sensitive information). We have also outsourced some of our operations (including parts of our information technology infrastructure) to a number of third-party service providers who may have, or could gain, access to sensitive information. In addition, many of those third parties, in turn, subcontract or outsource some of their responsibilities to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Cyberattacks, malicious internet-based activity, and online and offline fraud are increasing in frequency, persistence, sophistication and intensity. These threats come from a variety of sources, including traditional computer “hackers,” threat actors, personnel (such as through theft or misuse), sophisticated nation states, and nation-state-supported actors. Some actors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In particular, the Israeli regional conflict may increase the risk that state-sponsored parties or their supporters launch cyberattacks or carry out other geopolitically motivated retaliatory actions that adversely disrupt our operations in Israel. We and the third parties upon which we rely may be subject to a variety of evolving threats, including, but not limited to, malware (including as a result of persistent threat intrusions), malicious code (such as viruses and worms), ransomware attacks, denial-of-service attacks (such as credential stuffing), social engineering attacks (including phishing attacks), personnel misconduct or error, supply-chain attacks, software bugs, server malfunctions, software or hardware failures, loss of data or other technology assets, adware, telecommunication failures, earthquakes, fires, floods, and other similar threats. Although the aggregate impact on our operations and financial condition has not been material to date, we have been the target of events of this nature and expect them to continue.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These vulnerabilities may be heightened as a result of flexible work arrangements, including hybrid or remote work policies implemented by us and our third-party service providers, that were first adopted in response to the COVID-19 pandemic and have continued by many businesses.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Moreover, the prevalent use of mobile devices by our employees and third-party service providers to access confidential information increases the risk to our information technology systems and data.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proprietary or sensitive information. A security incident or other interruption could disrupt our ability (and that of third parties upon whom we rely) to conduct our business operations and divert significant resources. Though we have insurance that may cover some of the costs and fees resulting from a cyberattack, data security incident, or data breach, that insurance may not cover, or be sufficient to cover, all of the costs, losses, damages, fines, and penalties that may arising from a data security incident or to mitigate liabilities arising therefrom. In addition, such insurance may not continue to be available on commercially reasonable terms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Certain data privacy and security obligations may require us to implement and maintain specific security measures and tools, industry-standard or reasonable security measures to protect our information technology systems and proprietary and sensitive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security measures to protect our information technology systems and infrastructure, there can be no assurance that such measures will prevent cyberthreats, cyberattacks, security incidents, data breaches, malware, ransomware attacks and other disruptions that could adversely affect our business.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remediate vulnerabilities, if any, in our information technology systems, our efforts may not be successful. Further, we may experience delays in developing and deploying remedial measures designed to address any such identified vulnerabilities. In addition, failure to maintain effective internal accounting controls related to security incidents and cybersecurity in general could impact our ability to produce timely and accurate financial statements and subject us to regulatory scrutiny.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Applicable data privacy and security obligations, including data breach notification laws in the US and elsewhere,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financial obligations to third parties, indemnification obligations; negative publicity; reputational harm; monetary fund diversions; interruptions in our operations (including availability of data); financial loss; and other similar harms. Security incidents and attendant consequences may cause interruptions in our operations and could result in a material disruption of our programs. For example, the loss of clinical trial or nonclinical study data for our product candidates could result in delays in our regulatory approval efforts and significantly increase our costs due to additional time and resources necessary to recover and verify or potentially reproduce the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Failure of our internal control over financial reporting could harm our business and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Because of its inherent limitations, internal control over financial reporting is not intended to provide absolute assurance that a misstatement of our financial statements would be prevented or detected. Our growth and entry into new products, technologies and markets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 Having CCN located in a foreign country also adds to the complexity of our internal control over financial reporting and adds to the risk of a system failure, an undetected improper use or expenditure of funds or other resources by a subsidiary, or a failure to properly report a transaction or financial results of a subsidiary. We allocate certain expenses among Lineage itself and one or more of our subsidiaries, which creates a risk that the allocations we make may not accurately reflect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benefit of an expenditure or use of financial or other resources by Lineage as the parent company and the subsidiaries among which the allocations are made. An inaccurate allocation may impact our consolidated financial results, particularly in the case of subsidiaries that we do not wholly own since our financial statements include adjustments to reflect the minority ownership interests in our subsidiaries held by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identify material weaknesses in our internal control over financial reporting, if we are unable to comply with the requirements of Section 404 of the Sarbanes-Oxley Act in a timely manner or assert that our internal control over financial reporting is effective, or, when required, if our independent registered public accounting firm is unable to express an opinion or expresses a qualified or adverse opinion about the effectiveness of our internal control over financial reporting, investors may lose confidence in the accuracy and completeness of our financial reports and the market price of our common shares could be negatively affected. In addition, we could become subject to investigations by the NYSE American, the SEC, and other regulatory authorities, which could require additional financial and management resources.</w:t>
      </w:r>
    </w:p>
    <w:p>
      <w:pPr>
        <w:pStyle w:val="TextBody"/>
        <w:bidi w:val="0"/>
        <w:spacing w:before="360" w:after="283"/>
        <w:jc w:val="both"/>
        <w:rPr>
          <w:rFonts w:ascii="Times New Roman" w:hAnsi="Times New Roman"/>
          <w:sz w:val="20"/>
        </w:rPr>
      </w:pPr>
      <w:r>
        <w:rPr>
          <w:rFonts w:ascii="Times New Roman" w:hAnsi="Times New Roman"/>
          <w:b/>
          <w:color w:val="000000"/>
          <w:sz w:val="20"/>
        </w:rPr>
        <w:t>Unfavorable macroeconomic conditions and wars or armed conflicts could have an adverse impact on our business, financial condition and results of operations, including our clinical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are affected by prevailing economic and political conditions and other factors beyond our control, such as the rate of inflation, fluctuations in costs, particularly due to changes in labor costs and material costs, levels of business confidence, and wars or armed conflicts.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may experience cost increases. Changes in other economic conditions, including rising interest rates, lower consumer confidence, and volatile equity capital markets, may also affect our business. Although we may take measures to mitigate the effects of economic conditions, if these measures are not effective, our business, financial condition, results of operations and liquidity could be materially adversely affected. Even if such measures are effective, there could be a difference between the timing of when the benefits of such measures and the effects of such conditions impact our results of operations. Given these economic considerations, among other potential consequences, cost increases may outpace our expectations, causing us to use our cash and other liquid assets faster than forecasted. If this happens, we may need to raise additional capital to fund our operations sooner than expected, which may not be available in sufficient amounts or on reasonable terms, if at all. See also the discussion in this Risk Factors section under “We will need to obtain substantial additional funding to complete the development and seek regulatory approval of our product candidates and to commercialize products approved for marketing, if any. If we are unable to obtain adequate capital when needed, we may delay, reduce, limit the pace of, suspend or discontinue our product and technology development programs or other operations, which could significantly harm our business and prospects and cause the market price of our common shares to decline.” In addition, if the risks described in this paragraph materialize, the possibility of other risks described herein materializing and/or the impact of those risks may increase.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Regional instability in and around Israel and Ukraine, and the uncertain nature, magnitude, and duration of those conflicts and the potential effect of sanctions and other measures being imposed in response thereto have contributed to increased levels of economic and political uncertainty, which could have an adverse impact on macroeconomic factors that affect the financial markets, the global economy and our business and operations. See also the risk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 above. Additionally, the ongoing wars may disrupt the ability of third parties on which we rely to perform in accordance with our expectations, including CROs to conduct clinical trials. Moreover, enrollment and retention of clinical trial participants may be adversely affected. We cannot be certain what the overall impact of ongoing wars will be on our ability to conduct and complete our clinical trials on schedule. However, interruptions of our clinical trials could significantly delay our clinical development plans and potential authorization or approval of our product candidates, which could increase our costs and jeopardize our ability to successfully commercialize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Adverse litigation judgments or settlements resulting from legal proceedings in which we may be involved could expose us to monetary damages or limit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2023 we settled a putative shareholder class action lawsuit and a product liability lawsuit, and may in the future become involved in other class actions, derivative actions, private actions, collective actions, investigations, and various other legal proceedings by shareholders, collaborators, clinical trial participants, employees, suppliers and other vendors, service providers, competitors, government agencies, or others. The results of any such litigation, investigations, and other legal proceedings are inherently unpredictable and expensive. Although some of the costs and expenses of such claims may be covered by insurance, any claims against us, whether meritorious or not, could be time consuming, result in costly litigation, damage our reputation, require significant amounts of management time, and divert significant resources. Additionally, a dramatic increase in the cost of directors’ and officers’ liability insurance may cause us to opt for lower overall policy limits or to forgo insurance that we may otherwise rely on to cover significant defense costs, settlements, and damages awarded to plaintiffs. If any of these legal proceedings were to be determined adversely to us, or we were to enter into a settlement arrangement, we could be exposed to monetary damages or limits on our ability to operate our business, which could have an adverse effect on our business, financial condition, results of operations and prospects. In addition, the uncertainty associated with material litigation could lead to increased volatility in our stock price.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could be negatively impacted by environmental, social and corporate governance (“ESG”) matters or our reporting of such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investors, employees, collaborators, and other stakeholders are focused on ESG matters. Moreover, certain governmental authorities have proposed or adopted, and may continue to propose or adopt, certain mandated ESG reporting requirements, which, to the extent adopted, could significantly increase our compliance and reporting costs. At the same time, anti-ESG sentiment has gained momentum across the United States, with several states having enacted or proposed “anti-ESG” policies or legislation. We may be perceived to be not acting responsibly in connection with these matters or, on the other hand, we may be criticized or perceived as not prioritizing returns to our shareholders by those who criticize a company’s focus on ESG matters, either of which could negatively impact us and adversely affect the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6" w:name="item_3c_cybersecurity"/>
      <w:bookmarkEnd w:id="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1C. CYBERSECURITY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certain processes and policies in place to assess, identify and manage material cybersecurity risks. We also periodically monitor and test our information systems for potential vulnerabilities. We use various tools designed to help identify, investigate and resolve cybersecurity incidents, and to help recover from them in a timely manner. These processes, policies and tools comprise our cybersecurity risk program, and are integrated into our overall risk management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Information Technology Policy that sets parameters for the use, privacy, security, retention, and disposal of our information and other assets. We also have an Incident Response Policy which sets forth the steps for assessment, containment, and disclosure of cybersecurity threats. These policies were prepared using relevant guidance and technology standards and are reviewed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collaborate with third parties to assess the effectiveness of our cybersecurity risk program and have assessed it against the National Institute of Standards and Technology (“NIST”) cybersecurity framework. In addition, we consider the internal risk oversight programs of third-party service providers with whom we engage in order to help protect us from any related cybersecurity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cybersecurity risk program, we provide all of our employees with periodic cybersecurity training, which covers timely and relevant topics, including social engineering, phishing, password protection, confidential data protection, asset use and mobile security, and educates employees on the importance of reporting all incidents immediately.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are subject to cybersecurity risks, to date, none have materially affected our company, including our business strategy, results of operations, or financial condition. Notwithstanding our cybersecurity risk program, we may not be successful in preventing or mitigating a cybersecurity incident that could have a material adverse effect on our company. See Item 1A. “Risk Factors” for a discussion of cybersecurity risks.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oversees our risk management process directly and through its committees. The audit committee of our board of directors has the power and responsibility to coordinate our board’s oversight over our risk management procedures and to discuss with our management our policies with respect to risk assessment and risk management. Our board of directors has delegated to its audit committee oversight authority of our information security (including cybersecurity) risk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Primary responsibility for assessing, monitoring and managing our cybersecurity risks rests with our management. Our Senior Director, Human Resources &amp; Infrastructure, who together with our Chief Financial Officer and General Counsel, work in close partnership with our outside information technology and cybersecurity consulting firm, and collectively, comprise the core team members of our Rapid Response Team under our Incident Response Policy. The Rapid Response Team is made up of a broad range of participants with relevant education, skills, and experience to investigate cybersecurity threats and assess the materiality thereof to determine internal reporting to our audit committee and board of directors, as well as external reporting or disclosure requirements. Management provides at least quarterly updates to the audit committee, and in turn management and the audit committee provide periodic updates to our board of directors, regarding ongoing cybersecurity risk assessments and related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all the properties from which we operate our business. In general, we believe that our properties are well-maintained, adequate and suitable for our current operations and for our operations in the foreseeable future. See Note 13 (Commitments and Contingencies) to our consolidated financial statements included in this report for additional information regarding the properties we lease.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Lineage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are in an office park in Carlsbad, California. We also lease industrial space adjacent to our corporate headquarters.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CCN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various leases, CCN leases office and laboratory space in the Bio Park on the campus of the Hadassah University Hospital in Jerusalem, Israel.</w:t>
      </w:r>
    </w:p>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to our consolidated financial statements included in this report.</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shares are listed on the NYSE American and on the Tel Aviv Stock Exchange under the ticker symbol LCTX.</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4, 2025, there were approximately 351 record holders of our common shares. The number of beneficial owners of our common shares is substantially greater than the number of record holders because a large portion of our common shares is held of record through brokerage firms in “street name”.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cash dividends on our common shares and we do not anticipate paying cash dividends on our common shares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previously reported in our quarterly reports on Form 10-Q and current reports on Form 8-K filed with the SEC, during the year ended December 31, 2024, there were no unregistered sales of equity securities by us during the year ended December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is intended to provide information necessary to understand our audited consolidated financial statements for the two-year period ended December 31, 2024, and highlight certain other information which, in the opinion of management, will enhance a reader’s understanding of our financial condition, changes in financial condition and results of operations. In particular, the discussion is intended to provide an analysis of significant trends and material changes in our financial position and the operating results of our business during the year ended December 31, 2024 as compared to the year ended December 31, 2023. This discussion should be read in conjunction with our consolidated financial statements and related notes included elsewhere in this report.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described throughout this report, particularly in “Item 1A. Risk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generated cells with desired characteristics. Functional cells developed from such lineages and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least 7 years. Results from these studies have been published in the Journal of Neurosurgery Spine. OPC1 clinical development has been supported in part by a $14.3 million grant from the California Institute for Regenerative Medicine (“CIRM”). We plan to apply for additional funding from CIRM to support continued clinical development of OPC1 for the treatment of SCI when CIRM begins accepting new applications, which they have indicated they will do in Spring 2025. See “Grants from Government Entities – Grants from the California Institute for Regenerative Medicine,” below. In December 2023, we filed an Investigational New Drug (“IND”) amendment for OPC1 as it relates to our proposed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In March 2024, we received written correspondence from the FDA, advising us that due to their significant workload and conflicting PDUFA priorities at the agency, its review of our IND amendment and the DOSED study protocol was still ongoing, which remained so throughout 2024. On January 31, 2025, the FDA informed us that we could proceed with the DOSED study and shortly thereafter we announced that we were initiating the study. The study will enroll both subacute (between 21 to 42 days following injury) and chronic (between 1 to 5 years following injury) SCI patients. The DOSED study will be the first study of OPC1 to include patients with a chronic injury, a condition which comprises the majority of SCI patients. We expect DOSED will enable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UC San Diego Health, was named as the first participating site for the DOSED study. The DOSED study is expected to commence enrollment in the second quarter of 2025. See “Clinical Stage Cell Transplant Programs – OPC1,” below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complete pipeline of allogeneic, or “off-the-shelf”, neurology and ophthalmic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 (RG6501)</w:t>
      </w:r>
      <w:r>
        <w:rPr>
          <w:rFonts w:ascii="Times New Roman" w:hAnsi="Times New Roman"/>
          <w:color w:val="000000"/>
          <w:sz w:val="20"/>
        </w:rPr>
        <w:t xml:space="preserve">, an allogeneic RPE cell replacement therapy currently in a Phase 2a multicenter, open-label, single arm clinical trial, the GAlette Study, being conducted by Genentech, for the treatment of GA secondary to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a Phase 1b, multicenter, open -label safety trial, the DOSED study, which is designed to test the safety and utility of a novel spinal cord delivery device in subacute and chronic SCI patients. OPC1 continues to be evaluated in long-term follow-up from two completed Phase 1 and Phase 1/2a multicenter clinical trials in thoracic and subacute cervical SCI patients.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ReSonance</w:t>
      </w:r>
      <w:r>
        <w:rPr>
          <w:rFonts w:ascii="Times New Roman" w:hAnsi="Times New Roman"/>
          <w:color w:val="000000"/>
          <w:sz w:val="13"/>
        </w:rPr>
        <w:t>TM</w:t>
      </w:r>
      <w:r>
        <w:rPr>
          <w:color w:val="000000"/>
        </w:rPr>
        <w:t xml:space="preserve"> </w:t>
      </w:r>
      <w:r>
        <w:rPr>
          <w:rFonts w:ascii="Times New Roman" w:hAnsi="Times New Roman"/>
          <w:color w:val="000000"/>
          <w:sz w:val="20"/>
        </w:rPr>
        <w:t xml:space="preserve">(ANP1), an allogeneic auditory neuron progenitor cell transplant currently in preclinical development for the treatment of sensorineural hearing loss.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 We may elect not to develop or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CCN, at its facility in Jerusalem, Israel, and more than two-thirds of our workforce are CCN employees who are based in the same facility. As of the date of the filing of this report, our operations have not been materially or adversely impacted as a result of the Israeli regional conflict that began in October 2023 nor the broader regional conflict that has developed since.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at the outset of the conflict, our operations at our facilities in Israel were temporarily impacted. Further, a number of the employees in Israel are members of the military reserves and subject to immediate call-up in response to ongoing regional conflict. In addition, the general impact on employees operating in a region of conflict could adversely impact our operations. Although we have business continuity plans in place to address medium- or long-term disruptions that could result from regional instability, any long-term closure of our facilities in Israel, or if those facilities were damaged, or if hostilities otherwise disrupt the ongoing operation of our facilities, or if a meaningful number of employees are unable to work for significant portions of time, our operations would be materially and adversely impacted.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currently not possible to predict the scope, duration or severity of the ongoing war or its effects on our operations, financial condition or operating results. The ongoing war is rapidly evolving, and could materially adversely impact our business and operations, including our ability to raise capital, as well as the overall economy in Israel and the value of the New Israeli Shekel. See the risk factor in Item 1A. Risk Factors in this report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(“GAAP”) requires management to make estimates and assumptions that affect the reported amounts in our consolidated financial statements and related notes. We have identified below our critical accounting policies and estimates that we believe require the greatest amount of judgment. On an ongoing basis, we evaluate estimates which are subject to significant judgment, including those related to revenue recognition under collaborative agreements, impairment of intangible assets, deferred income taxes and tax reserves, and judgments used to determine whether warrants, at the time of their issuance, should be classified as liabilities or equity. Actual results could differ materially from those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an ongoing basis, we evaluate our estimates compared to historical experience and trends which form the basis for making judgments about the carrying value of assets and liabilities. To the extent that there are material differences between our estimates and our actual results, our future financial statement presentation, financial condition, results of operations and cash flows will be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assumptions and estimates associated with the following have the greatest potential impact on our consolidated financial statements. For information on all of our significant accounting policies, see Note 2 (Significant Accounting Policies) in the accompanying notes to the consolidated financial statements included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 Under Collaborative Agreements</w:t>
      </w:r>
    </w:p>
    <w:p>
      <w:pPr>
        <w:pStyle w:val="TextBody"/>
        <w:bidi w:val="0"/>
        <w:spacing w:before="120" w:after="283"/>
        <w:jc w:val="both"/>
        <w:rPr>
          <w:rFonts w:ascii="Times New Roman" w:hAnsi="Times New Roman"/>
          <w:sz w:val="20"/>
        </w:rPr>
      </w:pPr>
      <w:r>
        <w:rPr>
          <w:rFonts w:ascii="Times New Roman" w:hAnsi="Times New Roman"/>
          <w:color w:val="000000"/>
          <w:sz w:val="20"/>
        </w:rPr>
        <w:t>We review collaborative agreements to determine if the accounting treatment falls under Accounting Standards Codification (“ASC”), Topic 606</w:t>
      </w:r>
      <w:r>
        <w:rPr>
          <w:rFonts w:ascii="Times New Roman" w:hAnsi="Times New Roman"/>
          <w:i/>
          <w:color w:val="000000"/>
          <w:sz w:val="20"/>
        </w:rPr>
        <w:t xml:space="preserve">, Revenue from Contracts with Customers </w:t>
      </w:r>
      <w:r>
        <w:rPr>
          <w:rFonts w:ascii="Times New Roman" w:hAnsi="Times New Roman"/>
          <w:color w:val="000000"/>
          <w:sz w:val="20"/>
        </w:rPr>
        <w:t>(“ASC 606”)</w:t>
      </w:r>
      <w:r>
        <w:rPr>
          <w:rFonts w:ascii="Times New Roman" w:hAnsi="Times New Roman"/>
          <w:i/>
          <w:color w:val="000000"/>
          <w:sz w:val="20"/>
        </w:rPr>
        <w:t xml:space="preserve">, </w:t>
      </w:r>
      <w:r>
        <w:rPr>
          <w:rFonts w:ascii="Times New Roman" w:hAnsi="Times New Roman"/>
          <w:color w:val="000000"/>
          <w:sz w:val="20"/>
        </w:rPr>
        <w:t xml:space="preserve">or ASC </w:t>
      </w:r>
      <w:r>
        <w:rPr>
          <w:rFonts w:ascii="Times New Roman" w:hAnsi="Times New Roman"/>
          <w:i/>
          <w:color w:val="000000"/>
          <w:sz w:val="20"/>
        </w:rPr>
        <w:t xml:space="preserve">Topic 808, Collaborative Arrangements </w:t>
      </w:r>
      <w:r>
        <w:rPr>
          <w:rFonts w:ascii="Times New Roman" w:hAnsi="Times New Roman"/>
          <w:color w:val="000000"/>
          <w:sz w:val="20"/>
        </w:rPr>
        <w:t>(“ASC 808”). For agreements that may be within the scope of ASC 808, we may analogize to ASC 606 for some aspects of the agreements. If elements of the collaboration reflect a vendor-customer relationship, then those elements are within the scope ASC 606. The classification of transactions under our 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determine revenue recognition for arrangements within the scope of Topic 606 by performing the following five steps: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 As part of the accounting treatment for these contracts, we must develop estimates and assumptions that require judgment, including estimated collaboration costs, to determine the underlying stand-alone selling price for each performance obligation which determines how the transaction price is allocated among the performance obligations. After the transaction price is allocated to the performance obligation, an input method of costs incurred over total estimated costs to be incurred is used to measure progress toward completion of the performance obligation and to calculate the corresponding revenue to recognize each period. This input method requires significant judgment by management to estimate total costs to complete and to measure the progress toward completion of the performance obligation. We believe the input methodology represents the most appropriate measure of progress towards satisfaction of the identified performance obligations. For further information, see Note 3 (Revenue)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intangible assets, are reviewed for impairment whenever events or changes in circumstances indicate that the carrying amount of an asset may not be fully recoverable. If an impairment indicator is present, we evaluate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Goodwill is calculated as the difference between the acquisition date fair value of the consideration transferred and the values assigned to the assets acquired and liabilities assumed in the acquisition transaction. Goodwill is tested for impairment in accordance with Accounting Standards Update ("ASU") 2017-04, Intangibles—Goodwill and Other (Topic 350): Simplifying the Test for Goodwill Impairment.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Topic 350, </w:t>
      </w:r>
      <w:r>
        <w:rPr>
          <w:rFonts w:ascii="Times New Roman" w:hAnsi="Times New Roman"/>
          <w:i/>
          <w:color w:val="000000"/>
          <w:sz w:val="20"/>
        </w:rPr>
        <w:t xml:space="preserve">Intangibles – Goodwill and Other </w:t>
      </w:r>
      <w:r>
        <w:rPr>
          <w:rFonts w:ascii="Times New Roman" w:hAnsi="Times New Roman"/>
          <w:color w:val="000000"/>
          <w:sz w:val="20"/>
        </w:rPr>
        <w:t>("ASC 350").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 For further information, see Note 6 (Goodwill and Intangible Assets, Net) in the accompanying notes to the consolidated financial statements included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Lineage accounts for income taxes in accordance with ASC Topic 740, </w:t>
      </w:r>
      <w:r>
        <w:rPr>
          <w:rFonts w:ascii="Times New Roman" w:hAnsi="Times New Roman"/>
          <w:i/>
          <w:color w:val="000000"/>
          <w:sz w:val="20"/>
        </w:rPr>
        <w:t xml:space="preserve">Income Taxes </w:t>
      </w:r>
      <w:r>
        <w:rPr>
          <w:rFonts w:ascii="Times New Roman" w:hAnsi="Times New Roman"/>
          <w:color w:val="000000"/>
          <w:sz w:val="20"/>
        </w:rPr>
        <w:t>("ASC 740"), which</w:t>
      </w:r>
      <w:r>
        <w:rPr>
          <w:rFonts w:ascii="Times New Roman" w:hAnsi="Times New Roman"/>
          <w:color w:val="FFFF00"/>
          <w:sz w:val="20"/>
        </w:rPr>
        <w:t xml:space="preserve"> </w:t>
      </w:r>
      <w:r>
        <w:rPr>
          <w:rFonts w:ascii="Times New Roman" w:hAnsi="Times New Roman"/>
          <w:color w:val="000000"/>
          <w:sz w:val="20"/>
        </w:rPr>
        <w:t xml:space="preserve">prescribes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benefits to be recognized, a tax position must be more-likely-than-not sustainable upon examination by taxing authorities. Lineage files a U.S. federal income tax return as well as California combined and foreign income tax returns. Lineage’s judgments regarding future taxable income may change over time due to changes in market conditions, changes in tax laws, tax planning strategies or other factors. If Lineage assumptions, and consequently the estimates, change in the future with respect to Lineage’s own deferred tax assets and liabilities, the valuation allowance may be increased or decreased, which may have a material impact on Lineage’s consolidated financial statements. Lineage recognizes accrued interest and penalties related to unrecognized tax benefits, if any, as income tax expense; however, no amounts were accrued for the payment of interest and penalties as of December 31, 2024 and 2023. We provided a reserve 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2024 and 2023. For further information, see Note 12 (Income Taxes) in the accompanying notes to the consolidated financial statements included in this report.</w:t>
      </w:r>
    </w:p>
    <w:p>
      <w:pPr>
        <w:pStyle w:val="TextBody"/>
        <w:bidi w:val="0"/>
        <w:spacing w:before="360" w:after="283"/>
        <w:jc w:val="both"/>
        <w:rPr>
          <w:rFonts w:ascii="Times New Roman" w:hAnsi="Times New Roman"/>
          <w:sz w:val="20"/>
        </w:rPr>
      </w:pPr>
      <w:r>
        <w:rPr>
          <w:rFonts w:ascii="Times New Roman" w:hAnsi="Times New Roman"/>
          <w:b/>
          <w:color w:val="000000"/>
          <w:sz w:val="20"/>
        </w:rPr>
        <w:t>Warrants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FASB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shares,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Liability and equity-classified warrants are valued using a Black-Scholes option pricing model at issuance, and for liability-classified warrants, at each reporting period end date while the warrants are outstanding. Changes in fair value of liability-classified warrants are recorded in the consolidated statements of operations.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Years Ended December 31, 2024 and 2023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years ended December 31, 2024 and 2023 (amounts in thousands except percentages).</w:t>
      </w:r>
    </w:p>
    <w:p>
      <w:pPr>
        <w:pStyle w:val="TextBody"/>
        <w:bidi w:val="0"/>
        <w:jc w:val="both"/>
        <w:rPr/>
      </w:pPr>
      <w:r>
        <w:rPr/>
        <w:t> </w:t>
      </w:r>
    </w:p>
    <w:tbl>
      <w:tblPr>
        <w:tblW w:w="7666" w:type="dxa"/>
        <w:jc w:val="left"/>
        <w:tblInd w:w="0" w:type="dxa"/>
        <w:tblLayout w:type="fixed"/>
        <w:tblCellMar>
          <w:top w:w="28" w:type="dxa"/>
          <w:left w:w="28" w:type="dxa"/>
          <w:bottom w:w="28" w:type="dxa"/>
          <w:right w:w="28" w:type="dxa"/>
        </w:tblCellMar>
      </w:tblPr>
      <w:tblGrid>
        <w:gridCol w:w="3136"/>
        <w:gridCol w:w="146"/>
        <w:gridCol w:w="226"/>
        <w:gridCol w:w="614"/>
        <w:gridCol w:w="157"/>
        <w:gridCol w:w="157"/>
        <w:gridCol w:w="226"/>
        <w:gridCol w:w="614"/>
        <w:gridCol w:w="146"/>
        <w:gridCol w:w="146"/>
        <w:gridCol w:w="288"/>
        <w:gridCol w:w="582"/>
        <w:gridCol w:w="166"/>
        <w:gridCol w:w="146"/>
        <w:gridCol w:w="9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For the twelve months ended December 31, 2024, the $0.6 million increase in total revenues was primarily due to collaboration revenues recognized under the Roche Agreement resulting from continued progress toward completion of the performance obligations and from updates in the total estimated costs to be incurred under the Roche Agreement. Under the Roche Agreement, delivery is determined to be over time and revenue is recognized utilizing an input method of costs incurred over total estimated costs to complete the performance obligation.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revenues may fluctuate from period to period based on changes in estimated costs to support the performance obligations. The collaboration revenue was included within deferred revenue at the beginning of each reporting period. See Note 3 (Revenue) to our condensed consolidated financial statements included in this report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consist of cost of sales,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sales</w:t>
      </w:r>
      <w:r>
        <w:rPr>
          <w:rFonts w:ascii="Times New Roman" w:hAnsi="Times New Roman"/>
          <w:color w:val="000000"/>
          <w:sz w:val="20"/>
        </w:rPr>
        <w:t>. These expenses consist of costs associated with royalty revenue which has resulted from product sales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consolidated statements of operations. Royalties and sublicensing fees are recorded as research and development expenses, unless they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years ended December 31, 2024 and 2023 (amounts in thousands, except percentages).</w:t>
      </w:r>
    </w:p>
    <w:p>
      <w:pPr>
        <w:pStyle w:val="TextBody"/>
        <w:bidi w:val="0"/>
        <w:jc w:val="both"/>
        <w:rPr/>
      </w:pPr>
      <w:r>
        <w:rPr/>
        <w:t> </w:t>
      </w:r>
    </w:p>
    <w:tbl>
      <w:tblPr>
        <w:tblW w:w="691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8"/>
        <w:gridCol w:w="652"/>
        <w:gridCol w:w="166"/>
        <w:gridCol w:w="146"/>
        <w:gridCol w:w="9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primary research and development projects for the periods presented (amounts in thousands, except percentages).</w:t>
      </w:r>
    </w:p>
    <w:p>
      <w:pPr>
        <w:pStyle w:val="TextBody"/>
        <w:bidi w:val="0"/>
        <w:jc w:val="both"/>
        <w:rPr/>
      </w:pPr>
      <w:r>
        <w:rPr/>
        <w:t> </w:t>
      </w:r>
    </w:p>
    <w:tbl>
      <w:tblPr>
        <w:tblW w:w="8067"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146"/>
        <w:gridCol w:w="421"/>
        <w:gridCol w:w="271"/>
        <w:gridCol w:w="146"/>
        <w:gridCol w:w="146"/>
        <w:gridCol w:w="421"/>
        <w:gridCol w:w="416"/>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OpRegen</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PNC1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RND1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 and non-program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twelve months ended December 31, 2024, the $3.2 million year-over-year decrease in total research and development expenses is mainly attributable to: (i) a $2.7 million decrease for our OPC1 program as compared to the prior year primarily due to delays in obtaining clearance from the FDA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proceed with the DOSED study; (ii) a $0.5 million decrease for our preclinical programs; (iii) a $0.6 million decrease for our other research and development programs; and (iv) partially offset by a $0.6 million increase for our OpRegen program.</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twelve months ended December 31, 2024, the $0.9 million year-over-year increase in general and administrative expenses was primarily attributable to (i) a $0.6 million increase in stock-based compensation; (ii) a $0.4 million increase in personnel costs; and (iii) partially offset by a $0.1 million overall decrease in costs incurred for services provided by third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during the year ended December 31, 2024 and 2023 (in thousands):</w:t>
      </w:r>
    </w:p>
    <w:p>
      <w:pPr>
        <w:pStyle w:val="TextBody"/>
        <w:bidi w:val="0"/>
        <w:jc w:val="both"/>
        <w:rPr/>
      </w:pPr>
      <w:r>
        <w:rPr/>
        <w:t> </w:t>
      </w:r>
    </w:p>
    <w:tbl>
      <w:tblPr>
        <w:tblW w:w="8850" w:type="dxa"/>
        <w:jc w:val="left"/>
        <w:tblInd w:w="0" w:type="dxa"/>
        <w:tblLayout w:type="fixed"/>
        <w:tblCellMar>
          <w:top w:w="28" w:type="dxa"/>
          <w:left w:w="28" w:type="dxa"/>
          <w:bottom w:w="28" w:type="dxa"/>
          <w:right w:w="28" w:type="dxa"/>
        </w:tblCellMar>
      </w:tblPr>
      <w:tblGrid>
        <w:gridCol w:w="3521"/>
        <w:gridCol w:w="146"/>
        <w:gridCol w:w="224"/>
        <w:gridCol w:w="607"/>
        <w:gridCol w:w="176"/>
        <w:gridCol w:w="155"/>
        <w:gridCol w:w="224"/>
        <w:gridCol w:w="607"/>
        <w:gridCol w:w="166"/>
        <w:gridCol w:w="146"/>
        <w:gridCol w:w="304"/>
        <w:gridCol w:w="911"/>
        <w:gridCol w:w="166"/>
        <w:gridCol w:w="146"/>
        <w:gridCol w:w="1351"/>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Increase</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(Decrease)</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95%</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100%</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51%</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(224)%</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Interest income was greater for the year ended December 31, 2024 as compared to the prior year primarily due to a nominal increase in interest rates and average cash investment balances during 2024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Marketable equity securities, net</w:t>
      </w:r>
      <w:r>
        <w:rPr>
          <w:rFonts w:ascii="Times New Roman" w:hAnsi="Times New Roman"/>
          <w:color w:val="000000"/>
          <w:sz w:val="20"/>
        </w:rPr>
        <w:t xml:space="preserve">. We expect our net gain or loss on marketable equitable securities to fluctuate each reporting period based on the changes in the market price of the common stock held by us which could impact our net income or loss reported in our consolidated statements of operations for a particular reporting period. These shares are carried at fair market value on our consolidated balance sheet. See Note 4 (Marketable Securities) to our consolidated financial statements included in this report for additional information regarding our marketable equity securities. For the twelve months ended December 31, 2024 and 2023, Lineage recognized a net loss on marketable equity securities of $8,000 and $176,000, respectively, primarily related to changes in the fair market value of the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The liability-classified warrants issued in connection with the November 2024 registered direct offering are valued at each reporting period end date while the warrants are outstanding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recorded in the consolidated statements of operations and we expect this fair value to fluctuate each reporting period. For the year ended December 31, 2024, the Company recorded a $2.1 million change in the fair value of the warrants. There was no comparable change recorded in 2023.</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loss, net</w:t>
      </w:r>
      <w:r>
        <w:rPr>
          <w:rFonts w:ascii="Times New Roman" w:hAnsi="Times New Roman"/>
          <w:color w:val="000000"/>
          <w:sz w:val="20"/>
        </w:rPr>
        <w:t xml:space="preserve">. Foreign currency transaction loss, net, for each of the years ended December 31, 2024 and 2023 consisted of net foreign currency transaction gains and losses primarily recognized by our subsidiaries CCN and ES Cell International Pte. Ltd. (“ESI”). The functional currency of CCN and ESI is the Israeli New Shekel (“ILS”) and the Singapore Dollar (“SGD”), respectively. For the years ended December 31, 2024 and 2023, the net foreign currency transaction losses were $0.3 million and $0.5 million, respectively. The majority of the net foreign currency transaction losses were generated by CCN’s intercompany notes payable and notes receivable with Lineage, which is U.S. dollar-denominated. The year-over-year net decrease in foreign currency transaction losses was the result of the combined impact of: (i) changes in intercompany balances in 2024 as compared to 2023, and (ii) volatility of the ILS and SGD as compared to the U.S. dollar during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For the year ended December 31, 2024, the Company recorded $0.7 million related to the allocated transaction costs for warrants issued in connection with the November 2024 registered direct offering. No comparable expense was recorded in the prior year. For the year ended December 31, 2023, the Company recorded an employee retention credit of $0.5 million, and no comparable credit was recorded in 2024. The employee retention credit is a payroll tax refund per employee, under the Coronavirus Aid, Relief, and Economic Security Act which was designed by the U.S. Treasury Department to assist businesses that retained employees during the COVID pandemic. The Company qualified for this credit due to a decline in the quarterly revenue during 2020 and 2021 as compared to the same quarterly period in 2019.</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recorded a $1.8 million deferred tax benefit due to the ability to offset certain deferred tax assets against the deferred tax liability associated with in-process research and development (“IPR&amp;D”), and the related release of the valuation allowance in the first quarter of 2023. It was determined that a portion of the deferred tax liability related to the indefinite lived assets may be realized prior to the expiration of certain pre 2018 net operating losses. Lineage did not record a deferred tax benefit for the year ended December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our accumulated deficit was $403.5 million. For the year ended December 31, 2024, we incurred a loss from operations of $21.5 million and had negative cash flow from operations of $23.1 million. Since inception, we have incurred significant operating losses and we expect to continue to incur significant operating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we had $47.8 million in cash, cash equivalents and marketable securities. During the year ended December 31, 2024 we raised approximately $35.6 million in net proceeds through registered direct offerings that closed in February and in November 2024. In January 2025, we received an additional $5.5 million in net proceeds at the second closing of the November 2024 registered direct offering. We may receive up to an additional $36 million in gross proceeds upon the full cash exercise of OpRegen clinical milestone-linked warrants which each have an exercise price of $0.91 per share, that were issued in the registered direct offering we announced in November 2024. However, no assurances can be given that any portion of such warrants will be exercised, or if exercised, that they will be exercised on a cash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we issued and sold 55,830 common shares under our at-the-market offering program for gross proceeds of $70,000. As of December 31, 2024, $39.97 million remained available for sale under our at-the-market offering program. See Note 10 (Shareholders’ Equity) to our consolidated financial statements included in this report for additional information regarding our at-the-market offering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7919" w:type="dxa"/>
        <w:jc w:val="left"/>
        <w:tblInd w:w="0" w:type="dxa"/>
        <w:tblLayout w:type="fixed"/>
        <w:tblCellMar>
          <w:top w:w="28" w:type="dxa"/>
          <w:left w:w="28" w:type="dxa"/>
          <w:bottom w:w="28" w:type="dxa"/>
          <w:right w:w="28" w:type="dxa"/>
        </w:tblCellMar>
      </w:tblPr>
      <w:tblGrid>
        <w:gridCol w:w="5056"/>
        <w:gridCol w:w="146"/>
        <w:gridCol w:w="211"/>
        <w:gridCol w:w="736"/>
        <w:gridCol w:w="166"/>
        <w:gridCol w:w="146"/>
        <w:gridCol w:w="211"/>
        <w:gridCol w:w="736"/>
        <w:gridCol w:w="5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in 2024 was $23.1 million and consisted of a net loss of $18.6 million plus the net changes in operating assets and liabilities of $8.8 million offset by $4.3 million in non-cash adjustments. The net changes in operating assets and liabilities was primarily due to a $7.7 million reduction in deferred revenues and $1.7 million reduction in accounts payable and accrued liabilities. The non-cash adjustments of $4.3 million were primarily due to stock-based compensation and depreciation, partially offset by the change in the fair value of the warrant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$28.6 million for the year ended December 31, 2023, which primarily reflects the loss from operations of $24.7 million plus the changes in operating assets and liabilities of $10.8 million. These items were offset by non-cash expenses of $4.6 million for stock-based compensation and $0.8 million for depreciation and amortization. The foreign currency remeasurement and deferred tax benefit had no effect on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(Used In)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for the year ended December 31, 2024 was $2.3 million and primarily consisted of cash used to purchase U.S. Treasury securities, net of proceeds from maturities of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year ended December 31, 2023 was $46.4 million and consisted of $63.3 million in proceeds from the maturity of U.S. Treasury securities during the period and $0.2 million in proceeds from the sale of marketable equity securities, partially offset by $16.4 million used to purchase U.S. Treasury securities and $0.7 million used to purchase equipment.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2024 was $35.9 million and primarily consisted of net proceeds from the sale of our common shares in registered direct offerings and under our at-the-market offering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year ended December 31, 2023 was $6.4 million and primarily consisted of net proceeds from the sale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obligations to licensors under license agreements and to government entities under the terms of grants we have received require us to make future payments relating to sublicense fees, milestone payments, redemption fees, royalties and patent maintenance costs. Sublicense fees are payable to licensors or government entities when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including those related to the Roche Agreement. Redemption fees due to the IIA under the Innovation Law are due upon receipt of any milestone payments and royalties received under the Roche Agreement, see Note 13 (Commitment and Contingencies) to the consolidated financial statements included in this report for additional information.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December 31, 2024, we have not included these commitments on our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discussed in “Part I—Item 1. Business—Grants from Government Entities,” above, 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December 31, 2024, the aggregate cap amount was approximately $95.4 million. Redemption fees due to the IIA under the Innovation Law are due upon receipt of any milestone payments and royalties received under the Roche Agreement. As of December 31, 2024, we have not included any future financial obligations due to the IIA under the Innovation Law in our consolidated balance sheet because the achievement and timing of the events that would require future payments to the IIA under the Innovation Law is not fixed and determinable. See Note 13 (Commitments and Contingencies) to our consolidated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under the terms of the leases for the facilities from which CCN and Lineage operate, a total of $2.6 million of rent payments will become due, of which $1.2 million will become due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public health emergencies, geopolitical conflicts, political and economic instability, inflation and relatively high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$47.8 million in cash, cash equivalents and marketable securities at December 31, 2024, will be sufficient to fund our planned operations through at least twelve months from the issuance date of our consolidated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rules and regulations of the SEC, as a smaller reporting company,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Index to consolidated financial statements</w:t>
      </w:r>
    </w:p>
    <w:p>
      <w:pPr>
        <w:pStyle w:val="TextBody"/>
        <w:bidi w:val="0"/>
        <w:jc w:val="both"/>
        <w:rPr/>
      </w:pPr>
      <w:r>
        <w:rPr/>
        <w:t> </w:t>
      </w:r>
    </w:p>
    <w:tbl>
      <w:tblPr>
        <w:tblW w:w="9287" w:type="dxa"/>
        <w:jc w:val="left"/>
        <w:tblInd w:w="0" w:type="dxa"/>
        <w:tblLayout w:type="fixed"/>
        <w:tblCellMar>
          <w:top w:w="28" w:type="dxa"/>
          <w:left w:w="28" w:type="dxa"/>
          <w:bottom w:w="28" w:type="dxa"/>
          <w:right w:w="28" w:type="dxa"/>
        </w:tblCellMar>
      </w:tblPr>
      <w:tblGrid>
        <w:gridCol w:w="8821"/>
        <w:gridCol w:w="466"/>
      </w:tblGrid>
      <w:tr>
        <w:trPr/>
        <w:tc>
          <w:tcPr>
            <w:tcW w:w="882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82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 Moss Adams LLP (PCAOB #659)</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94</w:t>
            </w:r>
          </w:p>
        </w:tc>
      </w:tr>
      <w:tr>
        <w:trPr/>
        <w:tc>
          <w:tcPr>
            <w:tcW w:w="88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cpa_2">
              <w:r>
                <w:rPr>
                  <w:rStyle w:val="InternetLink"/>
                  <w:rFonts w:ascii="Times New Roman" w:hAnsi="Times New Roman"/>
                  <w:color w:val="0000FF"/>
                  <w:sz w:val="20"/>
                  <w:u w:val="single"/>
                </w:rPr>
                <w:t>Independent Registered Public Accounting Firm - Audit Opinion WithumSmith+Brown, PC (PCAOB #100)</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r>
      <w:tr>
        <w:trPr/>
        <w:tc>
          <w:tcPr>
            <w:tcW w:w="8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2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97</w:t>
            </w:r>
          </w:p>
        </w:tc>
      </w:tr>
      <w:tr>
        <w:trPr/>
        <w:tc>
          <w:tcPr>
            <w:tcW w:w="88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98</w:t>
            </w:r>
          </w:p>
        </w:tc>
      </w:tr>
      <w:tr>
        <w:trPr/>
        <w:tc>
          <w:tcPr>
            <w:tcW w:w="882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99</w:t>
            </w:r>
          </w:p>
        </w:tc>
      </w:tr>
      <w:tr>
        <w:trPr/>
        <w:tc>
          <w:tcPr>
            <w:tcW w:w="88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100</w:t>
            </w:r>
          </w:p>
        </w:tc>
      </w:tr>
      <w:tr>
        <w:trPr/>
        <w:tc>
          <w:tcPr>
            <w:tcW w:w="882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101</w:t>
            </w:r>
          </w:p>
        </w:tc>
      </w:tr>
      <w:tr>
        <w:trPr/>
        <w:tc>
          <w:tcPr>
            <w:tcW w:w="8821"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102</w:t>
            </w:r>
          </w:p>
        </w:tc>
      </w:tr>
    </w:tbl>
    <w:p>
      <w:pPr>
        <w:pStyle w:val="TextBody"/>
        <w:bidi w:val="0"/>
        <w:jc w:val="both"/>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To the Shareholders and the Board of Directors of</w:t>
      </w:r>
    </w:p>
    <w:p>
      <w:pPr>
        <w:pStyle w:val="TextBody"/>
        <w:bidi w:val="0"/>
        <w:jc w:val="left"/>
        <w:rPr>
          <w:rFonts w:ascii="Times New Roman" w:hAnsi="Times New Roman"/>
          <w:color w:val="000000"/>
          <w:sz w:val="20"/>
        </w:rPr>
      </w:pPr>
      <w:r>
        <w:rPr>
          <w:rFonts w:ascii="Times New Roman" w:hAnsi="Times New Roman"/>
          <w:color w:val="000000"/>
          <w:sz w:val="20"/>
        </w:rPr>
        <w:t>Lineage Cell Therapeutics, Inc.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 of Lineage Cell Therapeutics, Inc. and subsidiaries (the Company) as of December 31, 2024, the related consolidated statements of operations, comprehensive loss, shareholders’ equity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2024, and the consolidated results of its operations and its cash flows for the year then ended, in conformity with accounting principles generally accepted in the United States of America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Audit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recognition based on a cost input measure of progress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Note 3 to the consolidated financial statements, the Company recorded deferred revenue of $20.6 million as of December 31, 2024 and revenue of $8.1 million for the year ended December 31, 2024 from a collaboration agreement. The Company concluded the grant of licenses for the Company’s technology or programs, research and development services, and services or obligations in connection with participation in research or steering committees represent a combined performance obligation for which the Company recognizes collaboration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services are performed over time. The Company used a cost-based input method to measure progress toward completion of the performance obligation and to calculate the corresponding revenue to recognize each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identified revenue recognition based on a cost input measure of progress as a critical audit matter because of the significant judgment required by management to estimate total costs to complete and measure the progress toward completion of the performance obligation. This, in turn, led to a high degree of auditor judgment and increased audit effort in performing procedures to evaluate key assumptions, including the use of a subject matter expert on technical accounting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Our audit procedures included the following,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Inspecting, on a test basis, supporting documentation for costs incurred which are used to measure progress toward completion and to calculate revenue recognition.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the assistance of a subject matter expert on technical accounting matters, reviewing the collaboration agreement and management’s analysis to evaluate the reasonableness of management’s accounting conclusion to recognize revenue each period based on a cost-based input method to measure progress toward completion.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Inquiring with research and development personnel to evaluate factors related to the nature of the work to be performed and their impact on the total contract costs to be incurred, including progress to date and the estimate of remaining contract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Performing a retrospective review to assess the Company’s historical estimates of remaining costs to complete the research and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Recalculating the corresponding revenue recognized each period based on the cost-based input method to measure progress toward completion of the performance obligation.</w:t>
      </w:r>
    </w:p>
    <w:p>
      <w:pPr>
        <w:pStyle w:val="TextBody"/>
        <w:bidi w:val="0"/>
        <w:spacing w:before="240" w:after="283"/>
        <w:jc w:val="both"/>
        <w:rPr/>
      </w:pPr>
      <w:r>
        <w:rPr/>
        <w:t> </w:t>
      </w:r>
    </w:p>
    <w:p>
      <w:pPr>
        <w:pStyle w:val="TextBody"/>
        <w:bidi w:val="0"/>
        <w:spacing w:before="120" w:after="283"/>
        <w:jc w:val="both"/>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Moss Adams LLP</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jc w:val="left"/>
        <w:rPr>
          <w:rFonts w:ascii="Times New Roman" w:hAnsi="Times New Roman"/>
          <w:color w:val="000000"/>
          <w:sz w:val="20"/>
        </w:rPr>
      </w:pPr>
      <w:r>
        <w:rPr>
          <w:rFonts w:ascii="Times New Roman" w:hAnsi="Times New Roman"/>
          <w:color w:val="000000"/>
          <w:sz w:val="20"/>
        </w:rPr>
        <w:t>March 10, 2025</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report_of_independent_registered_cpa_2"/>
      <w:bookmarkEnd w:id="15"/>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Board of Directors and Shareholders of</w:t>
      </w:r>
    </w:p>
    <w:p>
      <w:pPr>
        <w:pStyle w:val="TextBody"/>
        <w:bidi w:val="0"/>
        <w:jc w:val="left"/>
        <w:rPr>
          <w:rFonts w:ascii="Times New Roman" w:hAnsi="Times New Roman"/>
          <w:color w:val="000000"/>
          <w:sz w:val="20"/>
        </w:rPr>
      </w:pPr>
      <w:r>
        <w:rPr>
          <w:rFonts w:ascii="Times New Roman" w:hAnsi="Times New Roman"/>
          <w:color w:val="000000"/>
          <w:sz w:val="20"/>
        </w:rPr>
        <w:t>Lineage Cell Therapeutics,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 of Lineage Cell Therapeutics, Inc. and Subsidiaries (collectively, the “Company”) as of December 31, 2023, the related consolidated statements of operations, comprehensive loss, changes in shareholders’ equity, and cash flows for the year ended December 31, 2023,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WithumSmith+Brown, 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served as the Company's auditor from 2014 to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Except for Note 15, as to which the date is </w:t>
      </w:r>
    </w:p>
    <w:p>
      <w:pPr>
        <w:pStyle w:val="TextBody"/>
        <w:bidi w:val="0"/>
        <w:jc w:val="left"/>
        <w:rPr>
          <w:rFonts w:ascii="Times New Roman" w:hAnsi="Times New Roman"/>
          <w:color w:val="000000"/>
          <w:sz w:val="20"/>
        </w:rPr>
      </w:pPr>
      <w:r>
        <w:rPr>
          <w:rFonts w:ascii="Times New Roman" w:hAnsi="Times New Roman"/>
          <w:color w:val="000000"/>
          <w:sz w:val="20"/>
        </w:rPr>
        <w:t>March 10,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PCAOB ID Number 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6" w:name="consolidated_balance_sheets"/>
      <w:bookmarkEnd w:id="16"/>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6"/>
        <w:gridCol w:w="246"/>
        <w:gridCol w:w="300"/>
        <w:gridCol w:w="1198"/>
        <w:gridCol w:w="166"/>
        <w:gridCol w:w="246"/>
        <w:gridCol w:w="300"/>
        <w:gridCol w:w="1198"/>
        <w:gridCol w:w="415"/>
      </w:tblGrid>
      <w:tr>
        <w:trPr/>
        <w:tc>
          <w:tcPr>
            <w:tcW w:w="6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17,960</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December 31, 2024 and 2023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December 31, 2024 and 2023; 220,416 and 174,987 shares issued </w:t>
              <w:br/>
              <w:t>   and outstanding as of December 31, 2024 and 2023,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451,343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(384,856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101,019</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7" w:name="consolidated_statements_of_operations"/>
      <w:bookmarkEnd w:id="17"/>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5131"/>
        <w:gridCol w:w="146"/>
        <w:gridCol w:w="211"/>
        <w:gridCol w:w="781"/>
        <w:gridCol w:w="166"/>
        <w:gridCol w:w="146"/>
        <w:gridCol w:w="211"/>
        <w:gridCol w:w="781"/>
        <w:gridCol w:w="3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used to compute basic and </w:t>
              <w:br/>
              <w:t>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8" w:name="consolidated_statements_comp_loss"/>
      <w:bookmarkEnd w:id="18"/>
      <w:r>
        <w:rPr>
          <w:rFonts w:ascii="Times New Roman" w:hAnsi="Times New Roman"/>
          <w:b/>
          <w:color w:val="000000"/>
          <w:sz w:val="20"/>
        </w:rPr>
        <w:t>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974" w:type="dxa"/>
        <w:jc w:val="left"/>
        <w:tblInd w:w="0" w:type="dxa"/>
        <w:tblLayout w:type="fixed"/>
        <w:tblCellMar>
          <w:top w:w="28" w:type="dxa"/>
          <w:left w:w="28" w:type="dxa"/>
          <w:bottom w:w="28" w:type="dxa"/>
          <w:right w:w="28" w:type="dxa"/>
        </w:tblCellMar>
      </w:tblPr>
      <w:tblGrid>
        <w:gridCol w:w="5311"/>
        <w:gridCol w:w="146"/>
        <w:gridCol w:w="211"/>
        <w:gridCol w:w="736"/>
        <w:gridCol w:w="166"/>
        <w:gridCol w:w="146"/>
        <w:gridCol w:w="211"/>
        <w:gridCol w:w="736"/>
        <w:gridCol w:w="3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Less: 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9" w:name="consolidated_statements_of_equity"/>
      <w:bookmarkEnd w:id="19"/>
      <w:r>
        <w:rPr>
          <w:rFonts w:ascii="Times New Roman" w:hAnsi="Times New Roman"/>
          <w:b/>
          <w:color w:val="000000"/>
          <w:sz w:val="20"/>
        </w:rPr>
        <w:t>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440,280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71,936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registered direct financings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0" w:name="consolidated_statements_of_cash_flows"/>
      <w:bookmarkEnd w:id="20"/>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661"/>
        <w:gridCol w:w="166"/>
        <w:gridCol w:w="146"/>
        <w:gridCol w:w="196"/>
        <w:gridCol w:w="661"/>
        <w:gridCol w:w="4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remeasurement and 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the sale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common shares under registered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common shares with warrants under registered direct financing,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INCREASE IN CASH, CASH EQUIVALENTS AND </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Financing costs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21" w:name="notes_to_the_consolidated_financial"/>
      <w:bookmarkEnd w:id="21"/>
      <w:r>
        <w:rPr>
          <w:rFonts w:ascii="Times New Roman" w:hAnsi="Times New Roman"/>
          <w:b/>
          <w:color w:val="000000"/>
          <w:sz w:val="20"/>
        </w:rPr>
        <w:t>NOTES TO THE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neurological and ophthalmic conditions. Our programs are based on our proprietary, cell-based technology platform and associated development, formulation, delivery and manufacturing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generated cells with desired characteristics. Functional cells developed from such lineages and which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sz w:val="20"/>
        </w:rPr>
      </w:pPr>
      <w:r>
        <w:rPr>
          <w:rFonts w:ascii="Times New Roman" w:hAnsi="Times New Roman"/>
          <w:color w:val="000000"/>
          <w:sz w:val="20"/>
        </w:rPr>
        <w:t>A significant area of focus is a collaboration we entered into with F. Hoffmann-La Roche Ltd and Genentech, Inc., a member of the Roche Group (collectively or individually, “Roche” or “Genentech”), under which our lead cell therapy program known as OpRegen</w:t>
      </w:r>
      <w:r>
        <w:rPr>
          <w:rFonts w:ascii="Times New Roman" w:hAnsi="Times New Roman"/>
          <w:color w:val="000000"/>
          <w:sz w:val="13"/>
        </w:rPr>
        <w:t>®</w:t>
      </w:r>
      <w:r>
        <w:rPr>
          <w:rFonts w:ascii="Times New Roman" w:hAnsi="Times New Roman"/>
          <w:color w:val="000000"/>
          <w:sz w:val="20"/>
        </w:rPr>
        <w:t xml:space="preserve">, is being developed for the treatment of ocular disorders, including geographic atrophy (“GA”) secondary to age-related macular degeneration (“AMD”). OpRegen (also known as RG6501) is a suspension of human allogeneic retinal pigmented epithelial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Collaboration and License Agreement we entered into with Roche in December 2021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(“Services Agreement”)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most advanced internally owned product candidate is OPC1, an allogeneic oligodendrocyte progenitor cell therapy designed to improve recovery following a spinal cord injury (“SCI”). Improved functional activity can lead to greater mobility and enhanced quality of life for patients and significant cost-savings for caregivers and payors. OPC1 also has an extensive long-term safety profile based on two clinical trials conducted to date: a five-patient Phase 1 safety trial in acute thoracic SCI, where all active subjects have been followed for at least 13 years, and a 25-patient Phase 1/2a multicenter dose-escalation trial in subacute cervical SCI, where all active subjects were evaluated for at least 7 years. Results from these studies have been published in the Journal of Neurosurgery Spine. OPC1 clinical development has been supported in part by a $14.3 million grant from the California Institute for Regenerative Medicine (“CIRM”). We plan to apply for additional funding from CIRM to support continued clinical development of OPC1 for the treatment of SCI when CIRM begins accepting new applications, which they have indicated they will do in Spring 2025. See “Grants from Government Entities – Grants from the California Institute for Regenerative Medicine,” below. In December 2023, we filed an Investigational New Drug (“IND”) amendment for OPC1 as it relates to our proposed DOSED (Delivery of Oligodendrocyte Progenitor Cells for Spinal Cord Injury: Evaluation of a Novel Device) clinical study, to evaluate the safety and utility of a novel spinal cord delivery device designed to administer OPC1 to the spinal parenchyma in subacute and chronic SCI patients. In March 2024, we received written correspondence from the FDA, advising us that due to their significant workload and conflicting PDUFA priorities at the agency, its review of our IND amendment and the DOSED study protocol was still ongoing, which remained so throughout 2024. On January 31, 2025, the FDA informed us that we could proceed with the DOSED study and shortly thereafter we announced that we were initiating the study. The study will enroll both subacute (between 21 to 42 days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following injury) and chronic (between 1 to 5 years following injury) SCI patients. The DOSED study will be the first study of OPC1 to include patients with a chronic injury, a condition which comprises the majority of SCI patients. We expect DOSED will enable future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UC San Diego Health, was named as the first participating site for the DOSED study. The DOSED study is expected to commence enrollment in the second quarter of 2025. See “Clinical Stage Cell Transplant Programs – OPC1,” below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complete pipeline of allogeneic, or “off-the-shelf”, neurology and ophthalmic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 (RG6501)</w:t>
      </w:r>
      <w:r>
        <w:rPr>
          <w:rFonts w:ascii="Times New Roman" w:hAnsi="Times New Roman"/>
          <w:color w:val="000000"/>
          <w:sz w:val="20"/>
        </w:rPr>
        <w:t xml:space="preserve">, an allogeneic RPE cell replacement therapy currently in a Phase 2a multicenter, open-label, single arm clinical trial, the GAlette Study, being conducted by Genentech, for the treatment of GA secondary to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a Phase 1b, multicenter, open -label safety trial, the DOSED study, which is designed to test the safety and utility of a novel spinal cord delivery device in subacute and chronic SCI patients. OPC1 continues to be evaluated in long-term follow-up from two completed Phase 1 and Phase 1/2a multicenter clinical trials in thoracic and subacute cervical SCI patients.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ReSonance</w:t>
      </w:r>
      <w:r>
        <w:rPr>
          <w:rFonts w:ascii="Times New Roman" w:hAnsi="Times New Roman"/>
          <w:color w:val="000000"/>
          <w:sz w:val="13"/>
        </w:rPr>
        <w:t>TM</w:t>
      </w:r>
      <w:r>
        <w:rPr>
          <w:color w:val="000000"/>
        </w:rPr>
        <w:t xml:space="preserve"> </w:t>
      </w:r>
      <w:r>
        <w:rPr>
          <w:rFonts w:ascii="Times New Roman" w:hAnsi="Times New Roman"/>
          <w:color w:val="000000"/>
          <w:sz w:val="20"/>
        </w:rPr>
        <w:t xml:space="preserve">(ANP1), an allogeneic auditory neuron progenitor cell transplant currently in preclinical development for the treatment of sensorineural hearing loss.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detailed above, but in some cases may also include genetic modifications designed to enhance efficacy and/or safety profiles. We may elect not to develop or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prior period amounts in the consolidated financial statements and accompanying notes have been reclassified to conform to the current period presentation. The reclassification of these items had no impact on net loss, net loss per share, financial position or cash flows in the current or prior periods. Specifically, our reclassifications are (i) operating lease right-of-use assets are now presented separately from property and equipment, net, on the consolidated balance sheets, (ii) cost of sales are now included in operating expenses on the consolidated statements of operations, and (iii) foreign currency transaction gains (losses) are now presented separately from other income (expenses)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generally accepted accounting principles in the United States of America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with consideration given to materiality. Estimates and assumptions which are subject to significant judgment include those related to revenue recognition under collaborative agreements, impairment of intangible assets, deferred income taxes and tax reserves, and judgments used to determine whether warrants, at the time of their issuance, should be classified as liabilities or equity. Actual results could differ materially from those estimates.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operating decision maker (“CODM”), the Chief Executive Officer, manages the Company’s business activities as a single operating and reportable segment at the consolidated level. See Note 15 (Segment Information) for additional information. Lineage’s consolidated financial statements include the accounts of its subsidiaries. The following table reflects Lineage’s ownership, directly or through one or more subsidiaries, of the outstanding shares of its operating subsidiaries as of December 31, 2024.</w:t>
      </w:r>
    </w:p>
    <w:p>
      <w:pPr>
        <w:pStyle w:val="TextBody"/>
        <w:bidi w:val="0"/>
        <w:jc w:val="both"/>
        <w:rPr/>
      </w:pPr>
      <w:r>
        <w:rPr/>
        <w:t> </w:t>
      </w:r>
    </w:p>
    <w:tbl>
      <w:tblPr>
        <w:tblW w:w="8812" w:type="dxa"/>
        <w:jc w:val="left"/>
        <w:tblInd w:w="0" w:type="dxa"/>
        <w:tblLayout w:type="fixed"/>
        <w:tblCellMar>
          <w:top w:w="28" w:type="dxa"/>
          <w:left w:w="28" w:type="dxa"/>
          <w:bottom w:w="28" w:type="dxa"/>
          <w:right w:w="28" w:type="dxa"/>
        </w:tblCellMar>
      </w:tblPr>
      <w:tblGrid>
        <w:gridCol w:w="2551"/>
        <w:gridCol w:w="146"/>
        <w:gridCol w:w="3961"/>
        <w:gridCol w:w="146"/>
        <w:gridCol w:w="886"/>
        <w:gridCol w:w="146"/>
        <w:gridCol w:w="97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 Cell International Pte. Ltd. (“ESI”).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As of December 31, 2024,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2024, we had $47.8 million of cash, cash equivalents and marketable securities. On December 31, 2024, the Company had restricted cash of $0.1 million required to be set aside for its corporate credit card facility. Additionally, Cell Cure Neuroscience, Ltd. (“CCN”) has restricted cash related to its lease. See Note 13 (Commitments and Contingencies). Based on our current operating plan, we believe that our cash, cash equivalents and marketable securities, will be sufficient to enable us to carry out our planned operations through at least twelve months from the issuance date of our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$39.97 million remained available for sale under our at-the-market offering program ("ATM"). See Note 10 (Shareholders’ Equity)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$2.0 million of marketable securities. We may use our marketable securities for liquidity as necessary and as market conditions allow. The market value of our marketable securities may not represent the amount that could be realized in a sale of such securities due to various market and regulatory factors, including trading volume, prevailing market conditions and prices at the time of any sale and subsequent sales of securities by the entities. In addition, the value of our marketable securities may be significantly and adversely impacted by deteriorating global economic conditions and the recent disruptions to and volatility in the credit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markets in the United States and worldwide resulting from pandemics, geopolitical conflicts, political and economic instability, rising inflation and interest rates, and other macroeconomic factors.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December 31, 2024, we have not included these commitments on our consolidated balance sheet because the achievement of events that would trigger our payment obligations and the timing thereof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 Lineage considers all highly liquid investments purchased with an original maturity of three months or less to be cash equivalents. As of December 31, 2024 and 2023, Lineage had $21.6 million and $21.0 million in money market funds, respectively, considered to be cash equivalents. Additionally, as of December 31, 2024 and 2023, Lineage had $17.4 and $8.9 million in marketable debt securities, classified as cash equivalents due to their original maturity of three months or less at the time of purchase.</w:t>
      </w:r>
    </w:p>
    <w:p>
      <w:pPr>
        <w:pStyle w:val="TextBody"/>
        <w:bidi w:val="0"/>
        <w:spacing w:before="240" w:after="283"/>
        <w:jc w:val="both"/>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 At December 31, 2024 and 2023, the Company had restricted cash of $0.1 million required to be set aside for its corporate credit card facility. Additionally, CCN has restricted cash related to its office lease. See Note 13 (Commitments and contingencies).</w:t>
      </w:r>
    </w:p>
    <w:p>
      <w:pPr>
        <w:pStyle w:val="TextBody"/>
        <w:bidi w:val="0"/>
        <w:spacing w:before="240" w:after="283"/>
        <w:jc w:val="both"/>
        <w:rPr>
          <w:rFonts w:ascii="Times New Roman" w:hAnsi="Times New Roman"/>
          <w:sz w:val="20"/>
        </w:rPr>
      </w:pPr>
      <w:r>
        <w:rPr>
          <w:rFonts w:ascii="Times New Roman" w:hAnsi="Times New Roman"/>
          <w:b/>
          <w:i/>
          <w:color w:val="000000"/>
          <w:sz w:val="20"/>
        </w:rPr>
        <w:t>Marketable debt securities</w:t>
      </w:r>
      <w:r>
        <w:rPr>
          <w:rFonts w:ascii="Times New Roman" w:hAnsi="Times New Roman"/>
          <w:color w:val="000000"/>
          <w:sz w:val="20"/>
        </w:rPr>
        <w:t xml:space="preserve"> - Lineage accounts for its holdings of U.S. Treasury securities in accordance with Financial Accounting Standards Board (“FASB”) Accounting Standards Codification (“ASC”) 320-10-50, </w:t>
      </w:r>
      <w:r>
        <w:rPr>
          <w:rFonts w:ascii="Times New Roman" w:hAnsi="Times New Roman"/>
          <w:i/>
          <w:color w:val="000000"/>
          <w:sz w:val="20"/>
        </w:rPr>
        <w:t>Debt Securities</w:t>
      </w:r>
      <w:r>
        <w:rPr>
          <w:rFonts w:ascii="Times New Roman" w:hAnsi="Times New Roman"/>
          <w:color w:val="000000"/>
          <w:sz w:val="20"/>
        </w:rPr>
        <w:t>. Marketable debt securities purchased with an original maturity of three months or less have been classified as cash equivalents and those purchased with an original maturity of more than three months have been classified as “available-for-sale” and are carried at estimated fair value on the consolidated balance sheet. Unrealized gains and losses are excluded from earnings and are included in other comprehensive income or loss and reported as a separate component of stockholders’ equity or deficit until realized. Realized gains or losses on available-for-sale debt securities are included in other income (expense). The amortized cost of debt securities is adjusted for amortization of premiums and accretion of discounts to maturity. Such amortization and accretion, together with interest on securities, are included in interest income on the Company’s consolidated statement of operations. The cost of securities sold is based on the specific-identification method. In accordance with the Company’s investment policy, management invests in debt securities with high credit quality, including U.S. government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unrealized losses attributable to current expected credit loss (“CECL”) would be recorded through an allowance for credit losses, limited to the amount by which the fair value is below amortized cost, with the offsetting amount recorded in other income or expense in the consolidated statement of operations. To date, no such credit losses have occurred or have been recorded. Unrealized losses not attributable to an expected credit loss and unrealized gains on investments are recorded in other comprehensive income (loss) on the consolidated statements comprehensive loss. Realized gains and losses, if any, on investments classified as available-for-sale securities are included in other income or expense. The amortized cost of investments classified as available-for-sale debt securities is adjusted for amortization of premiums and accretion of discounts to maturity. Such amortization and accretion are included in interest. See Note 4 (Marketable Securities) for additional information.</w:t>
      </w:r>
    </w:p>
    <w:p>
      <w:pPr>
        <w:pStyle w:val="TextBody"/>
        <w:bidi w:val="0"/>
        <w:spacing w:before="240" w:after="283"/>
        <w:jc w:val="both"/>
        <w:rPr>
          <w:rFonts w:ascii="Times New Roman" w:hAnsi="Times New Roman"/>
          <w:sz w:val="20"/>
        </w:rPr>
      </w:pPr>
      <w:r>
        <w:rPr>
          <w:rFonts w:ascii="Times New Roman" w:hAnsi="Times New Roman"/>
          <w:b/>
          <w:i/>
          <w:color w:val="000000"/>
          <w:sz w:val="20"/>
        </w:rPr>
        <w:t>Marketable equity securities</w:t>
      </w:r>
      <w:r>
        <w:rPr>
          <w:rFonts w:ascii="Times New Roman" w:hAnsi="Times New Roman"/>
          <w:color w:val="000000"/>
          <w:sz w:val="20"/>
        </w:rPr>
        <w:t xml:space="preserve"> - Lineage accounts for the shares it holds in HBL Hadasit Bio-Holdings Ltd (“HBL”) and OncoCyte Corporation (“OCX”) as marketable equity securities in accordance with ASC 320-10-25, </w:t>
      </w:r>
      <w:r>
        <w:rPr>
          <w:rFonts w:ascii="Times New Roman" w:hAnsi="Times New Roman"/>
          <w:i/>
          <w:color w:val="000000"/>
          <w:sz w:val="20"/>
        </w:rPr>
        <w:t>Investments – Debt and Equity Securities</w:t>
      </w:r>
      <w:r>
        <w:rPr>
          <w:rFonts w:ascii="Times New Roman" w:hAnsi="Times New Roman"/>
          <w:color w:val="000000"/>
          <w:sz w:val="20"/>
        </w:rPr>
        <w:t xml:space="preserve">, as amended by Accounting Standards Update (“ASU”) 2016-01, </w:t>
      </w:r>
      <w:r>
        <w:rPr>
          <w:rFonts w:ascii="Times New Roman" w:hAnsi="Times New Roman"/>
          <w:i/>
          <w:color w:val="000000"/>
          <w:sz w:val="20"/>
        </w:rPr>
        <w:t xml:space="preserve">Financial Instruments–Overall: Recognition and Measurement of Financial Assets and Financial Liabilities, </w:t>
      </w:r>
      <w:r>
        <w:rPr>
          <w:rFonts w:ascii="Times New Roman" w:hAnsi="Times New Roman"/>
          <w:color w:val="000000"/>
          <w:sz w:val="20"/>
        </w:rPr>
        <w:t xml:space="preserve">further discussed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HBL shares have a readily determinable fair value quoted on the Tel Aviv Stock Exchange (“TASE”) under the trading symbol “HDST” where share prices are denominated in New Israeli Shekels (NIS). Lineage has not owned any shares of OCX since June 30, 2024. Shares of OCX have readily determinable fair values quoted on the NYSE American under trading symbol “OCX”. </w:t>
      </w:r>
    </w:p>
    <w:p>
      <w:pPr>
        <w:pStyle w:val="TextBody"/>
        <w:bidi w:val="0"/>
        <w:spacing w:before="240" w:after="283"/>
        <w:jc w:val="both"/>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 Net accounts receivables amounted to $0.6 million and $0.7 million as of December 31, 2024 and 2023, respectively. Net trade receivables include an allowance for credit losses of approximately zero and $0.1 million as of December 31, 2024 and 2023, for those amounts deemed uncollectible by Lineage. Lineage establishes an allowance for credit losses based on the evaluation of the collectability of its receivables using a variety of factors, including the length of time receivables are past due, significant events that may impair the customer’s ability to pay, such as a bankruptcy filing or deterioration in the customers operating results or financial position, and historical experience. If circumstances related to customers change, estimates of the recoverability of receivables would be further adjusted. Accounts receivable, net is primarily comprised of royalty-based revenue and other service revenue. Lineage has deemed the risk of customer default within its royalty-based revenues to be low, as the receivable amounts: i) are based on estimates and/or reports directly communicated by its royalty-related sublicensees, and ii) have not historically been impacted by macro-economic uncertainties (i.e., interest rates, inflation, GDP growth) as it relates to collectability. As such, a credit loss allowance per the provisions of CECL is not determined to be necessary. Lineage has deemed the risk of customer default within the other service revenues to be low primarily due to customer creditworthiness.</w:t>
      </w:r>
    </w:p>
    <w:p>
      <w:pPr>
        <w:pStyle w:val="TextBody"/>
        <w:bidi w:val="0"/>
        <w:spacing w:before="240" w:after="283"/>
        <w:jc w:val="both"/>
        <w:rPr>
          <w:rFonts w:ascii="Times New Roman" w:hAnsi="Times New Roman"/>
          <w:sz w:val="20"/>
        </w:rPr>
      </w:pPr>
      <w:r>
        <w:rPr>
          <w:rFonts w:ascii="Times New Roman" w:hAnsi="Times New Roman"/>
          <w:b/>
          <w:i/>
          <w:color w:val="000000"/>
          <w:sz w:val="20"/>
        </w:rPr>
        <w:t>Concentrations of credit risk, significant sources of supply, and significant customers</w:t>
      </w:r>
      <w:r>
        <w:rPr>
          <w:rFonts w:ascii="Times New Roman" w:hAnsi="Times New Roman"/>
          <w:color w:val="000000"/>
          <w:sz w:val="20"/>
        </w:rPr>
        <w:t xml:space="preserve"> – Financial instruments that potentially subject Lineage to significant concentrations of credit risk consist primarily of cash, cash equivalents and marketable debt securities. Lineage limits the amount of credit exposure of cash balances by maintaining its accounts in high credit quality financial institutions. Cash equivalent deposits with financial institutions may occasionally exceed the limits of insurance on bank deposits; however, Lineage has not experienced any losses on such accounts. Lineage mitigates its credit exposure on marketable debt securities by investing in short term U.S. Treasuries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relies on single-source, third-party suppliers for a few key components of our product candidates. If these single-source, third-party suppliers are unable to continue providing a key component, the initiation or progress of any clinical studies of its product candidates may be impeded.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2024 and 2023, $8.1 million and $7.6 million, respectively, of the Company’s total revenue came from our collaboration under the Roche Agreement.</w:t>
      </w:r>
    </w:p>
    <w:p>
      <w:pPr>
        <w:pStyle w:val="TextBody"/>
        <w:bidi w:val="0"/>
        <w:spacing w:before="24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 Property and equipment, including finance lease right-of-use assets,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 See Note 5 (Property and Equipment, Net)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Goodwill and IPR&amp;D</w:t>
      </w:r>
      <w:r>
        <w:rPr>
          <w:rFonts w:ascii="Times New Roman" w:hAnsi="Times New Roman"/>
          <w:color w:val="000000"/>
          <w:sz w:val="20"/>
        </w:rPr>
        <w:t xml:space="preserve"> – Goodwill is calculated as the difference between the acquisition date fair value of the consideration transferred and the values assigned to the assets acquired and liabilities assumed. Goodwill is tested for impairment in accordance with ASU 2017-04, </w:t>
      </w:r>
      <w:r>
        <w:rPr>
          <w:rFonts w:ascii="Times New Roman" w:hAnsi="Times New Roman"/>
          <w:i/>
          <w:color w:val="000000"/>
          <w:sz w:val="20"/>
        </w:rPr>
        <w:t>Intangibles—Goodwill and Other (Topic 350): Simplifying the Test for Goodwill Impairment</w:t>
      </w:r>
      <w:r>
        <w:rPr>
          <w:rFonts w:ascii="Times New Roman" w:hAnsi="Times New Roman"/>
          <w:color w:val="000000"/>
          <w:sz w:val="20"/>
        </w:rPr>
        <w:t xml:space="preserve">. In-process research and development (“IPR&amp;D”) assets are indefinite-lived intangible assets until the completion or abandonment of the associated research and development (“R&amp;D”) efforts. Once the R&amp;D efforts are completed or abandoned, the IPR&amp;D will either be amortized over the asset’s estimated life as a finite-lived intangible asset or be impaired, respectively, in accordance with ASC 350, </w:t>
      </w:r>
      <w:r>
        <w:rPr>
          <w:rFonts w:ascii="Times New Roman" w:hAnsi="Times New Roman"/>
          <w:i/>
          <w:color w:val="000000"/>
          <w:sz w:val="20"/>
        </w:rPr>
        <w:t>Intangibles – Goodwill and Other</w:t>
      </w:r>
      <w:r>
        <w:rPr>
          <w:rFonts w:ascii="Times New Roman" w:hAnsi="Times New Roman"/>
          <w:color w:val="000000"/>
          <w:sz w:val="20"/>
        </w:rPr>
        <w:t>.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 Intangible assets, consisting primarily of acquired patents, patent applications, and licenses to use certain patents are stated at acquired cost, less accumulated amortization. Amortization expense is computed using the straight-line method over the estimated useful lives of the assets, generally over 5 to 10 years.</w:t>
      </w:r>
    </w:p>
    <w:p>
      <w:pPr>
        <w:pStyle w:val="TextBody"/>
        <w:bidi w:val="0"/>
        <w:spacing w:before="240" w:after="283"/>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 Long-lived assets, including property and equipment and intangible assets, are reviewed annually for impairment and whenever events or changes in circumstances indicate that the carrying amount of an asset may not be fully recoverable. If an impairment indicator is present, Lineage evaluates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 The Company did not recognize any impairment losses for the years ended December 31, 2024 and 2023.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Leases </w:t>
      </w:r>
      <w:r>
        <w:rPr>
          <w:rFonts w:ascii="Times New Roman" w:hAnsi="Times New Roman"/>
          <w:i/>
          <w:color w:val="000000"/>
          <w:sz w:val="20"/>
        </w:rPr>
        <w:t xml:space="preserve">- </w:t>
      </w:r>
      <w:r>
        <w:rPr>
          <w:rFonts w:ascii="Times New Roman" w:hAnsi="Times New Roman"/>
          <w:color w:val="000000"/>
          <w:sz w:val="20"/>
        </w:rPr>
        <w:t xml:space="preserve">We account for leases in accordance with ASC 842, </w:t>
      </w:r>
      <w:r>
        <w:rPr>
          <w:rFonts w:ascii="Times New Roman" w:hAnsi="Times New Roman"/>
          <w:i/>
          <w:color w:val="000000"/>
          <w:sz w:val="20"/>
        </w:rPr>
        <w:t>Leases</w:t>
      </w:r>
      <w:r>
        <w:rPr>
          <w:rFonts w:ascii="Times New Roman" w:hAnsi="Times New Roman"/>
          <w:color w:val="000000"/>
          <w:sz w:val="20"/>
        </w:rPr>
        <w:t>. We determine if an arrangement is a lease at inception. Leases are classified as either financing or operating, with classification affecting the pattern of expense recognition in the consolidated statements of operations. Under the available practical expedients for the adoption of ASC 842, we account for the lease and non-lease components as a single lease component. We recognize right-of-use (“ROU”) assets and lease liabilities for leases with terms greater than twelve months in the consolidated balance sheet. ROU assets represent our right to use an underlying asset during the lease term and lease liabilities represent our obligation to make lease payments arising from the lease. Operating and finance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and finance lease ROU assets also includes any lease payments made and excludes lease incentives. Our lease terms used to determine operating and finance lease ROU assets and liabilities may include options to extend or terminate the lease when it is reasonably certain that we will exercise that option. Lease expense for operating lease payments is recognized on a straight-line basis over the lease term. Lease expense for finance lease payments is recognized as amortization of ROU assets and related interest. Operating leases ROU assets are included in noncurrent assets and finance leases ROU assets are included in property and equipment; finance and lease liabilities are included in the current and long-term liabilities in the consolidated balance sheets.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Accounting for warrants - </w:t>
      </w: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FASB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shares,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Liability and equity-classified warrants are valued using a Black-Scholes option pricing model at issuance, and for liability-classified warrants, at each reporting period end date while the warrants are outstanding. Changes in fair value of liability-classified warrants are recorded in the consolidated statements of operations, and reflected as an adjustment to reconcile net loss to net cash used in operating activities in the consolidated statements of cash flows. See Note 10 (Shareholders’ Equity) for additional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Transactions with noncontrolling interests of subsidiaries</w:t>
      </w:r>
      <w:r>
        <w:rPr>
          <w:rFonts w:ascii="Times New Roman" w:hAnsi="Times New Roman"/>
          <w:color w:val="000000"/>
          <w:sz w:val="20"/>
        </w:rPr>
        <w:t xml:space="preserve"> - Lineage accounts for a change in ownership interests in its subsidiaries that does not result in a change of control of the subsidiary by Lineage under the provisions of ASC 810-10-45-23, </w:t>
      </w:r>
      <w:r>
        <w:rPr>
          <w:rFonts w:ascii="Times New Roman" w:hAnsi="Times New Roman"/>
          <w:i/>
          <w:color w:val="000000"/>
          <w:sz w:val="20"/>
        </w:rPr>
        <w:t>Consolidation</w:t>
      </w:r>
      <w:r>
        <w:rPr>
          <w:rFonts w:ascii="Times New Roman" w:hAnsi="Times New Roman"/>
          <w:color w:val="000000"/>
          <w:sz w:val="20"/>
        </w:rPr>
        <w:t xml:space="preserve"> – </w:t>
      </w:r>
      <w:r>
        <w:rPr>
          <w:rFonts w:ascii="Times New Roman" w:hAnsi="Times New Roman"/>
          <w:i/>
          <w:color w:val="000000"/>
          <w:sz w:val="20"/>
        </w:rPr>
        <w:t xml:space="preserve">Other Presentation Matters, </w:t>
      </w:r>
      <w:r>
        <w:rPr>
          <w:rFonts w:ascii="Times New Roman" w:hAnsi="Times New Roman"/>
          <w:color w:val="000000"/>
          <w:sz w:val="20"/>
        </w:rPr>
        <w:t>which prescribes the accounting for changes in ownership interest that do not result in a change in control of the subsidiary, as defined by GAAP, before and after the transaction. Under this guidance, changes in a controlling shareholder’s ownership interest that do not result in a change of control, as defined by GAAP, in the subsidiary are accounted for as equity transactions. Thus, if the controlling shareholder retains control, no gain or loss is recognized in the statements of operations of the controlling shareholder. Similarly, the controlling shareholder will not record any additional acquisition adjustments to reflect its subsequent purchases of additional shares in the subsidiary if there is no change of control. Only a proportional and immediate transfer of carrying value between the controlling and the noncontrolling shareholders occurs based on the respective ownership percentages.</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translation adjustments and other comprehensive income or loss</w:t>
      </w:r>
      <w:r>
        <w:rPr>
          <w:rFonts w:ascii="Times New Roman" w:hAnsi="Times New Roman"/>
          <w:color w:val="000000"/>
          <w:sz w:val="20"/>
        </w:rPr>
        <w:t xml:space="preserve"> - In countries in which Lineage operates where the functional currency is other than the U.S. dollar, assets and liabilities are translated using published exchange rates in effect at the consolidated balance sheet date. Revenues and expenses and cash flows are translated using an approximate weighted average exchange rate for the period. Resulting foreign currency translation adjustments are recorded as other comprehensive income or loss, net of tax, in the consolidated statements of comprehensive income or loss and included as a component of accumulated other comprehensive income or loss on the consolidated balance sheets. Foreign currency translation adjustments are primarily attributable to CCN and ESI, Lineage’s consolidated foreign subsidiaries. For the years ended December 31, 2024 and 2023, the total comprehensive loss includes gains from foreign currency translation adjustments, of $0.2 million and $0.4 million, respectively, net of an insignificant amount of tax. As of December 31, 2024 and 2023, we had cumulative translation adjustments of $2.5 million and $2.7 million, respectively, net of an insignificant amount of tax. </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transaction gains and losses</w:t>
      </w:r>
      <w:r>
        <w:rPr>
          <w:rFonts w:ascii="Times New Roman" w:hAnsi="Times New Roman"/>
          <w:color w:val="000000"/>
          <w:sz w:val="20"/>
        </w:rPr>
        <w:t xml:space="preserve"> - For transactions denominated in other than the functional currency of Lineage or its subsidiaries, Lineage recognizes transaction gains and losses in the consolidated statements of operations and classifies the gain or loss based on the nature of the item that generated it. Lineage’s foreign currency transaction gains and losses are primarily generated by CCN’s and ESI’s intercompany debt owed to Lineage which is U.S. dollar-denominated, while the functional currency is the Israeli New Shekel (“ILS”) and the Singapore Dollar (“SGD”), respectively. At each balance sheet date, Lineage remeasures the intercompany debt using the current exchange rate at that date pursuant to ASC 830, </w:t>
      </w:r>
      <w:r>
        <w:rPr>
          <w:rFonts w:ascii="Times New Roman" w:hAnsi="Times New Roman"/>
          <w:i/>
          <w:color w:val="000000"/>
          <w:sz w:val="20"/>
        </w:rPr>
        <w:t>Foreign Currency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 from royalties, license and other revenues</w:t>
      </w:r>
      <w:r>
        <w:rPr>
          <w:rFonts w:ascii="Times New Roman" w:hAnsi="Times New Roman"/>
          <w:color w:val="000000"/>
          <w:sz w:val="20"/>
        </w:rPr>
        <w:t xml:space="preserve"> - For agreements that include sales-based royalties, including commercial milestone payments based on the level of sales, and the license is deemed to be the predominant item to which the royalties relate, Lineage recognizes revenue at the later of (i) when the related sales occur, or (ii) when the performance obligation to which some or all of the royalty has been allocated has been satisfied (or partially satisfied). Lineage estimates and recognizes royalty revenues based on all available information, including estimates provided by the customer or licensee from which Lineage obtains such estimates directly for each reporting period. Actual revenues ultimately received may differ from those estimates recorded and are adjusted in the period when information on actuals is available to Lineage.</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 from collaborative agreements</w:t>
      </w:r>
      <w:r>
        <w:rPr>
          <w:rFonts w:ascii="Times New Roman" w:hAnsi="Times New Roman"/>
          <w:color w:val="000000"/>
          <w:sz w:val="20"/>
        </w:rPr>
        <w:t xml:space="preserve"> - At contract inception, we review collaborative agreements to determine if the accounting treatment falls under ASC </w:t>
      </w:r>
      <w:r>
        <w:rPr>
          <w:rFonts w:ascii="Times New Roman" w:hAnsi="Times New Roman"/>
          <w:i/>
          <w:color w:val="000000"/>
          <w:sz w:val="20"/>
        </w:rPr>
        <w:t xml:space="preserve">Topic 606, Revenue from Contracts with Customers </w:t>
      </w:r>
      <w:r>
        <w:rPr>
          <w:rFonts w:ascii="Times New Roman" w:hAnsi="Times New Roman"/>
          <w:color w:val="000000"/>
          <w:sz w:val="20"/>
        </w:rPr>
        <w:t>(“ASC 606”)</w:t>
      </w:r>
      <w:r>
        <w:rPr>
          <w:rFonts w:ascii="Times New Roman" w:hAnsi="Times New Roman"/>
          <w:i/>
          <w:color w:val="000000"/>
          <w:sz w:val="20"/>
        </w:rPr>
        <w:t xml:space="preserve">, </w:t>
      </w:r>
      <w:r>
        <w:rPr>
          <w:rFonts w:ascii="Times New Roman" w:hAnsi="Times New Roman"/>
          <w:color w:val="000000"/>
          <w:sz w:val="20"/>
        </w:rPr>
        <w:t xml:space="preserve">or ASC </w:t>
      </w:r>
      <w:r>
        <w:rPr>
          <w:rFonts w:ascii="Times New Roman" w:hAnsi="Times New Roman"/>
          <w:i/>
          <w:color w:val="000000"/>
          <w:sz w:val="20"/>
        </w:rPr>
        <w:t xml:space="preserve">Topic 808, Collaborative Arrangements </w:t>
      </w:r>
      <w:r>
        <w:rPr>
          <w:rFonts w:ascii="Times New Roman" w:hAnsi="Times New Roman"/>
          <w:color w:val="000000"/>
          <w:sz w:val="20"/>
        </w:rPr>
        <w:t>(“ASC 808”). For agreements that may be within the scope of ASC 808, we may analogize to ASC 606 for some aspects of the agreements. If elements of the collaboration reflect a vendor-customer relationship, then those elements are within the scope ASC 606. The classification of transactions under our arrangements is determined based on the nature and contractual terms of the arrangement along with the nature of the operations of the participants.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determines revenue recognition for agreements within the scope of Topic 606 in accordance with ASU 2014-09</w:t>
      </w:r>
      <w:r>
        <w:rPr>
          <w:rFonts w:ascii="Times New Roman" w:hAnsi="Times New Roman"/>
          <w:i/>
          <w:color w:val="000000"/>
          <w:sz w:val="20"/>
        </w:rPr>
        <w:t>, Revenues from Contracts with Customers (Topic 606)</w:t>
      </w:r>
      <w:r>
        <w:rPr>
          <w:rFonts w:ascii="Times New Roman" w:hAnsi="Times New Roman"/>
          <w:color w:val="000000"/>
          <w:sz w:val="20"/>
        </w:rPr>
        <w:t xml:space="preserve">, and in a manner that depicts the transfer of control of a product or a service to a customer and reflects the amount of the consideration it is entitled to receive in exchange for such product or service. In doing so, Lineage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Lineage considers the terms of a contract and all relevant facts and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applying the revenue recognition standard. Lineage applies the revenue recognition standard, including the use of any practical expedients, consistently to contracts with similar characteristics and in similar circumstances.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our collaborative agreements typically include one or more of the following: (i) upfront fees; (ii) milestone payments related to achievement of development or commercial milestones; (iii) royalties on net sales of licensed products; and (iv) reimbursement of cost-sharing of research and development (“R&amp;D”) expenses. Each of these payments eventually result in collaboration revenues. When a portion of non-refundable upfront fees or other payments received are allocated to continuing performance obligations under the terms of a collaborative agreement, they are recorded as deferred revenue and recognized as collaboration revenue when (or as) the underlying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identify the performance obligations within the collaboration agreements, we first identify all the promises in the contract (i.e., explicit and implicit), which may include a customer option to acquire additional goods or services for free or at a discount. We exclude any immaterial promises from the assessment of identifying performance obligations. When an option is identified as providing a customer with a material right, the option is identified as a performance obligation. A portion of the transaction price is then allocated to the option and recognized when (or as) the future goods or services related to the option are provided, or when the option expires.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accounting treatment for these agreements, we must develop estimates and assumptions that require judgment to determine the underlying stand-alone selling price for each performance obligation which determines how the transaction price is allocated among the performance obligations. The following items are estimated in the calculation of the stand-alone selling price: forecasted revenues and development costs, development timelines, discount rates and probabilities of technical and regulatory success. We evaluate each performance obligation to determine if they can be satisfied at a point in time or over time, and we measure the services delivered to our collaboration partners each reporting period, which is based on the progress of the related program. If necessary, we adjust the measure of performance and related revenue recognition. Any such adjustments are recorded on a cumulative catch-up basis which would affect revenue and net income (loss) in the period of adjustment. In addition, variable considerations (e.g., milestone payments) must be evaluated to determine if it is constrained and, therefore, excluded from the transaction price.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Upfront fees - </w:t>
      </w:r>
      <w:r>
        <w:rPr>
          <w:rFonts w:ascii="Times New Roman" w:hAnsi="Times New Roman"/>
          <w:color w:val="000000"/>
          <w:sz w:val="20"/>
        </w:rPr>
        <w:t>If a license to our intellectual property is determined to be distinct from the other performance obligations identified in the arrangement, we recognize collaboration revenues from the transaction price allocated to the license when the license is transferred to the licensee, and the licensee is able to use and benefit from the license. When the license is determined to be non-distinct, we utilize judgment to assess the nature of the combined performance obligation to determine whether the combined performance obligation is satisfied over time or at a point in time, and, if over time, the appropriate method of measuring progress for purposes of recognizing collaboration revenue from the allocated transaction price. For example, when we receive upfront fees for the performance of research and development services, or when research and development services are not considered to be distinct from a license, we recognize collaboration revenue for those units of account over time using a measure of progress. We evaluate the measure of progress at each reporting period and, if necessary, adjust the measure of performance and related revenue as a change in estimate.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Milestone payments -</w:t>
      </w:r>
      <w:r>
        <w:rPr>
          <w:color w:val="000000"/>
        </w:rPr>
        <w:t xml:space="preserve"> </w:t>
      </w:r>
      <w:r>
        <w:rPr>
          <w:rFonts w:ascii="Times New Roman" w:hAnsi="Times New Roman"/>
          <w:color w:val="000000"/>
          <w:sz w:val="20"/>
        </w:rPr>
        <w:t>At the inception of each collaboration agreement that includes milestone payments (variable consideration),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or the collaboration partner’s control, such as non-operational developmental and regulatory approvals, are generally not considered probable of being achieved until those approvals are received. At the end of each reporting period, we re-evaluate the probability of achievement of milestones that are within our or the collaboration partner’s control, such as operational developmental milestones and any related constraint, and if necessary, adjust our estimate of the overall transaction price. Any such adjustments are recorded on a cumulative catch-up basis, which would affect collaboration revenues and net income (loss) in the period of adjustment. Revisions to our estimate of the transaction price may also result in negative collaboration revenues and net income (loss) in the period of adjustment.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Royalties - </w:t>
      </w:r>
      <w:r>
        <w:rPr>
          <w:rFonts w:ascii="Times New Roman" w:hAnsi="Times New Roman"/>
          <w:color w:val="000000"/>
          <w:sz w:val="20"/>
        </w:rPr>
        <w:t xml:space="preserve">For collaboration agreements that include sales-based royalties, including commercial milestone payments based on the level of sales, and the license is deemed to be the predominant item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Reimbursement, cost-sharing payments - </w:t>
      </w:r>
      <w:r>
        <w:rPr>
          <w:rFonts w:ascii="Times New Roman" w:hAnsi="Times New Roman"/>
          <w:color w:val="000000"/>
          <w:sz w:val="20"/>
        </w:rPr>
        <w:t>Under certain collaborative agreements, we will receive reimbursement for a portion of our R&amp;D expenses. Such reimbursements are reviewed for gross versus net reporting considerations and reflected either as a reduction of R&amp;D expense or as reimbursement revenue in our consolidated statements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 Research and development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will be expensed as incurred. Research and development expenses incurred and reimbursed by grants from third parties approximate the grant income recognized in the consolidated statements of operations. Royalties and sublicensing fees are recorded as research and development expenses, unless these costs are associated with royalties from product sales, which we classify as cost of sales in our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 General and administrative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r>
        <w:rPr>
          <w:rFonts w:ascii="Times New Roman" w:hAnsi="Times New Roman"/>
          <w:i/>
          <w:color w:val="000000"/>
          <w:sz w:val="20"/>
        </w:rPr>
        <w:t xml:space="preserve">- </w:t>
      </w:r>
      <w:r>
        <w:rPr>
          <w:rFonts w:ascii="Times New Roman" w:hAnsi="Times New Roman"/>
          <w:color w:val="000000"/>
          <w:sz w:val="20"/>
        </w:rPr>
        <w:t xml:space="preserve">Lineage follows accounting standards governing share-based payments in accordance with ASC 718, </w:t>
      </w:r>
      <w:r>
        <w:rPr>
          <w:rFonts w:ascii="Times New Roman" w:hAnsi="Times New Roman"/>
          <w:i/>
          <w:color w:val="000000"/>
          <w:sz w:val="20"/>
        </w:rPr>
        <w:t>Compensation – Stock Compensation</w:t>
      </w:r>
      <w:r>
        <w:rPr>
          <w:rFonts w:ascii="Times New Roman" w:hAnsi="Times New Roman"/>
          <w:color w:val="000000"/>
          <w:sz w:val="20"/>
        </w:rPr>
        <w:t>, which require the measurement and recognition of compensation expense for all share-based payment awards made to directors and employees based on estimated fair values.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share-based compensation for equity awards granted to employees, non-employee director and consultants as an expense on the consolidated statements of operations. Share-based compensation is recognized over the requisite service period of the individual awards using the straight-line attribution method, which generally equals the vesting period. Employees stock options primarily have a ten-year life and generally vest 25% on the first anniversary of the grant and in 1/36th equal installments on each monthly anniversary thereafter, such that options are fully vested on the four-year anniversary of the date of grant. The exercisability and vesting periods of options granted to directors and consultants vary. Restricted stock units subject to time-based vesting generally vest in four equal annual installments beginning on the first anniversary of the grant date. Restricted stock units subject to performance-based vesting will vest in connection with the achievement of certain development milestones (see Note 11 (Stock-Based Awards)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employee, non-employee director and consultant stock options, we utilize the Black-Scholes option pricing model for valuing share-based payment awards. Lineage’s determination of fair value of share-based payment awards on the date of grant using that option-pricing model is affected by the price of Lineage’s common shares as well as by assumptions regarding a number of complex and subjective variables. These variables include, but are not limited to: (i) the expected stock price volatility over the term of the awards, based upon our historical volatility; (ii) the expected term of options granted, which is derived using the simplified method, which is an average of the contractual term of the option and its vesting period, as we do not have sufficient historical exercise data upon which to estimate the expected term; and (iii) the risk-free rate, which is based on the U.S. Treasury yield in effect at the time of grant for U.S. Treasury notes with maturities similar to the expected term of the awards. Stock option forfeitures are accounted for as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restricted stock units (“RSUs”) subject to service and/or performance vesting conditions, the grant-date fair value is established based on the closing price of Lineage’s common shares on such date. Stock-based compensation expense for RSUs subject to only service conditions is recognized on a straight-line basis over the service period. Stock-based compensation expense for RSUs with both service and performance conditions is recognized on a graded basis only if it is probable that the performance condition will be achieved. Lineage accounts for forfeitures of RSUs as they occur in determining stock-based compensation expense.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fair value of employee stock options and RSUs are determined in accordance with FASB guidance, changes in the assumptions can materially affect the estimated value and therefore the amount of compensation expense recognized in the consolidated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Lineage accounts for income taxes in accordance with ASC Topic 740, </w:t>
      </w:r>
      <w:r>
        <w:rPr>
          <w:rFonts w:ascii="Times New Roman" w:hAnsi="Times New Roman"/>
          <w:i/>
          <w:color w:val="000000"/>
          <w:sz w:val="20"/>
        </w:rPr>
        <w:t xml:space="preserve">Income Taxes </w:t>
      </w:r>
      <w:r>
        <w:rPr>
          <w:rFonts w:ascii="Times New Roman" w:hAnsi="Times New Roman"/>
          <w:color w:val="000000"/>
          <w:sz w:val="20"/>
        </w:rPr>
        <w:t xml:space="preserve">("ASC 740"), which prescribe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ASC 740 guidance also prescribes a recognition threshold and a measurement attribute for the financial statement recognition and measurement of tax positions taken or expected to be taken in a tax return. For benefits to be recognized, a tax position must be more-likely-than-not sustainable upon examination by taxing authorities. Lineage files a U.S. federal income tax return as well as California combined and foreign income tax returns. Lineage’s judgments regarding future taxable income may change over time due to changes in market conditions, changes in tax laws, tax planning strategies or other factors. If Lineage assumptions, and consequently the estimates, change in the future with respect to Lineage’s own deferred tax assets and liabilities, the valuation allowance may be increased or decreased, which may have a material impact on Lineage’s consolidated financial statements. Lineage recognizes accrued interest and penalties related to unrecognized tax benefits, if any, as income tax expense; however, no amounts were accrued for the payment of interest and penalties as of December 31, 2024 and 2023. We provided a reserve against our federal and California research and development credits generated. The carryforward amounts for these credits have been reported net of these reserves. Accordingly, no accrued interest and penalties related to unrecognized tax benefits have been recorded as of December 31, 2024 and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22, 2017, the United States enacted major federal tax reform legislation, Public Law No. 115-97, commonly referred to as the 2017 Tax Cuts and Jobs Act (“2017 Tax Act”), which enacted a broad range of changes to the Internal Revenue Code. Beginning in 2018, the 2017 Tax Act subjects a U.S. stockholder to tax on Global Intangible Low Tax Income (“GILTI”) earned by certain foreign subsidiaries. In general, GILTI is the excess of a U.S. shareholder’s total net foreign income over a deemed return on tangible assets. The provision further allows a deduction of 50% of GILTI, however this deduction is limited to the Company’s pre-GILTI U.S. income. See Note 12 (Income Taxes)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interpretations under ASC 740 state that an entity can make an accounting policy election to either recognize deferred taxes for temporary basis differences expected to reverse as GILTI in future years or to provide for the tax expense related to GILTI in the year the tax is incurred as a period expense. We have elected to account for GILTI as a current period expense when incurred.</w:t>
      </w:r>
    </w:p>
    <w:p>
      <w:pPr>
        <w:pStyle w:val="TextBody"/>
        <w:bidi w:val="0"/>
        <w:spacing w:before="240" w:after="283"/>
        <w:jc w:val="both"/>
        <w:rPr>
          <w:rFonts w:ascii="Times New Roman" w:hAnsi="Times New Roman"/>
          <w:sz w:val="20"/>
        </w:rPr>
      </w:pPr>
      <w:r>
        <w:rPr>
          <w:rFonts w:ascii="Times New Roman" w:hAnsi="Times New Roman"/>
          <w:b/>
          <w:i/>
          <w:color w:val="000000"/>
          <w:sz w:val="20"/>
        </w:rPr>
        <w:t>Basic and diluted net income (loss) per share attributable to common shareholders</w:t>
      </w:r>
      <w:r>
        <w:rPr>
          <w:rFonts w:ascii="Times New Roman" w:hAnsi="Times New Roman"/>
          <w:color w:val="000000"/>
          <w:sz w:val="20"/>
        </w:rPr>
        <w:t xml:space="preserve"> - 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2024 and 2023, respectively, Lineage reported a net loss attributable to common shareholders, and therefore, all potentially dilutive common shares were considered antidilutive for those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jc w:val="both"/>
        <w:rPr/>
      </w:pPr>
      <w:r>
        <w:rPr/>
        <w:t> </w:t>
      </w:r>
    </w:p>
    <w:tbl>
      <w:tblPr>
        <w:tblW w:w="4205" w:type="dxa"/>
        <w:jc w:val="left"/>
        <w:tblInd w:w="0" w:type="dxa"/>
        <w:tblLayout w:type="fixed"/>
        <w:tblCellMar>
          <w:top w:w="28" w:type="dxa"/>
          <w:left w:w="28" w:type="dxa"/>
          <w:bottom w:w="28" w:type="dxa"/>
          <w:right w:w="28" w:type="dxa"/>
        </w:tblCellMar>
      </w:tblPr>
      <w:tblGrid>
        <w:gridCol w:w="1876"/>
        <w:gridCol w:w="146"/>
        <w:gridCol w:w="150"/>
        <w:gridCol w:w="696"/>
        <w:gridCol w:w="150"/>
        <w:gridCol w:w="150"/>
        <w:gridCol w:w="150"/>
        <w:gridCol w:w="69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and its adoption did not have a significant impact on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us beginning in fiscal year 2025, with early adoption permitted, and is expected to be applied prospectively, but retrospective application is permitted. We are currently evaluating the impact of ASU 2023-09 on the consolidated financial statements and related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disaggregated revenues were as follows (in thousands):</w:t>
      </w:r>
    </w:p>
    <w:p>
      <w:pPr>
        <w:pStyle w:val="TextBody"/>
        <w:bidi w:val="0"/>
        <w:jc w:val="left"/>
        <w:rPr/>
      </w:pPr>
      <w:r>
        <w:rPr/>
        <w:t> </w:t>
      </w:r>
    </w:p>
    <w:tbl>
      <w:tblPr>
        <w:tblW w:w="6209" w:type="dxa"/>
        <w:jc w:val="left"/>
        <w:tblInd w:w="0" w:type="dxa"/>
        <w:tblLayout w:type="fixed"/>
        <w:tblCellMar>
          <w:top w:w="28" w:type="dxa"/>
          <w:left w:w="28" w:type="dxa"/>
          <w:bottom w:w="28" w:type="dxa"/>
          <w:right w:w="28" w:type="dxa"/>
        </w:tblCellMar>
      </w:tblPr>
      <w:tblGrid>
        <w:gridCol w:w="3916"/>
        <w:gridCol w:w="146"/>
        <w:gridCol w:w="211"/>
        <w:gridCol w:w="571"/>
        <w:gridCol w:w="146"/>
        <w:gridCol w:w="146"/>
        <w:gridCol w:w="211"/>
        <w:gridCol w:w="571"/>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the period. This revenue originated from the $50.0</w:t>
      </w:r>
      <w:r>
        <w:rPr>
          <w:rFonts w:ascii="Times New Roman" w:hAnsi="Times New Roman"/>
          <w:color w:val="000000"/>
          <w:sz w:val="22"/>
        </w:rPr>
        <w:t xml:space="preserve"> </w:t>
      </w:r>
      <w:r>
        <w:rPr>
          <w:rFonts w:ascii="Times New Roman" w:hAnsi="Times New Roman"/>
          <w:color w:val="000000"/>
          <w:sz w:val="20"/>
        </w:rPr>
        <w:t xml:space="preserve">million upfront payment under the Roche Agreement.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$30,000</w:t>
      </w:r>
      <w:r>
        <w:rPr>
          <w:rFonts w:ascii="Times New Roman" w:hAnsi="Times New Roman"/>
          <w:color w:val="000000"/>
          <w:sz w:val="22"/>
        </w:rPr>
        <w:t xml:space="preserve"> </w:t>
      </w:r>
      <w:r>
        <w:rPr>
          <w:rFonts w:ascii="Times New Roman" w:hAnsi="Times New Roman"/>
          <w:color w:val="000000"/>
          <w:sz w:val="20"/>
        </w:rPr>
        <w:t>and $87,000</w:t>
      </w:r>
      <w:r>
        <w:rPr>
          <w:rFonts w:ascii="Times New Roman" w:hAnsi="Times New Roman"/>
          <w:color w:val="000000"/>
          <w:sz w:val="22"/>
        </w:rPr>
        <w:t xml:space="preserve"> </w:t>
      </w:r>
      <w:r>
        <w:rPr>
          <w:rFonts w:ascii="Times New Roman" w:hAnsi="Times New Roman"/>
          <w:color w:val="000000"/>
          <w:sz w:val="20"/>
        </w:rPr>
        <w:t xml:space="preserve">was included within deferred revenues as contract liabilities as of January 1,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recognizing the $50.0 million upfront payment under the Roche Agreement utilizing an input method of costs incurred over total estimated costs to be incurred. At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contracts with customers including collaboration partners which are within the scope of ASU 2014-09 – Revenue from Contracts with Customers (Topic 606), the aggregate amount of the transaction price allocated to remaining performance obligations as of December 31, 2024 was $25.6 million, of which $21.8 million is reported as deferred revenues. The $25.6 million is expected to be substantially converted to revenue by December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and deferred revenues (contract liabilities) from contracts with customers, including collaboration partners, consisted of the following (in thousands):</w:t>
      </w:r>
    </w:p>
    <w:p>
      <w:pPr>
        <w:pStyle w:val="TextBody"/>
        <w:bidi w:val="0"/>
        <w:jc w:val="both"/>
        <w:rPr/>
      </w:pPr>
      <w:r>
        <w:rPr/>
        <w:t> </w:t>
      </w:r>
    </w:p>
    <w:tbl>
      <w:tblPr>
        <w:tblW w:w="7555" w:type="dxa"/>
        <w:jc w:val="left"/>
        <w:tblInd w:w="0" w:type="dxa"/>
        <w:tblLayout w:type="fixed"/>
        <w:tblCellMar>
          <w:top w:w="28" w:type="dxa"/>
          <w:left w:w="28" w:type="dxa"/>
          <w:bottom w:w="28" w:type="dxa"/>
          <w:right w:w="28" w:type="dxa"/>
        </w:tblCellMar>
      </w:tblPr>
      <w:tblGrid>
        <w:gridCol w:w="4216"/>
        <w:gridCol w:w="146"/>
        <w:gridCol w:w="310"/>
        <w:gridCol w:w="995"/>
        <w:gridCol w:w="146"/>
        <w:gridCol w:w="146"/>
        <w:gridCol w:w="310"/>
        <w:gridCol w:w="995"/>
        <w:gridCol w:w="2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beginning of the year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 end of the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Contract liabilities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Deferred revenues - end of the period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Excludes grants receivable which are outside the scope of ASU 2014-09.</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Calibri;sans-serif" w:hAnsi="Calibri;sans-serif"/>
          <w:sz w:val="22"/>
        </w:rPr>
      </w:pPr>
      <w:r>
        <w:rPr>
          <w:rFonts w:ascii="Times New Roman" w:hAnsi="Times New Roman"/>
          <w:color w:val="000000"/>
          <w:sz w:val="20"/>
        </w:rPr>
        <w:t>Deferred revenue related to the Roche Agreement was $20.6</w:t>
      </w:r>
      <w:r>
        <w:rPr>
          <w:rFonts w:ascii="Calibri;sans-serif" w:hAnsi="Calibri;sans-serif"/>
          <w:color w:val="000000"/>
          <w:sz w:val="22"/>
        </w:rPr>
        <w:t xml:space="preserve"> </w:t>
      </w:r>
      <w:r>
        <w:rPr>
          <w:rFonts w:ascii="Times New Roman" w:hAnsi="Times New Roman"/>
          <w:color w:val="000000"/>
          <w:sz w:val="20"/>
        </w:rPr>
        <w:t>million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amounts under our collaboration agreements included in the transaction price (i.e., cumulative amounts triggered or probable) as of December 31, 2024 (in thousands):</w:t>
      </w:r>
    </w:p>
    <w:p>
      <w:pPr>
        <w:pStyle w:val="TextBody"/>
        <w:pBdr>
          <w:bottom w:val="single" w:sz="6" w:space="1" w:color="000000"/>
        </w:pBdr>
        <w:bidi w:val="0"/>
        <w:jc w:val="both"/>
        <w:rPr/>
      </w:pPr>
      <w:r>
        <w:rPr/>
        <w:t> </w:t>
      </w:r>
    </w:p>
    <w:tbl>
      <w:tblPr>
        <w:tblW w:w="8164" w:type="dxa"/>
        <w:jc w:val="left"/>
        <w:tblInd w:w="0" w:type="dxa"/>
        <w:tblLayout w:type="fixed"/>
        <w:tblCellMar>
          <w:top w:w="28" w:type="dxa"/>
          <w:left w:w="28" w:type="dxa"/>
          <w:bottom w:w="28" w:type="dxa"/>
          <w:right w:w="28" w:type="dxa"/>
        </w:tblCellMar>
      </w:tblPr>
      <w:tblGrid>
        <w:gridCol w:w="3301"/>
        <w:gridCol w:w="146"/>
        <w:gridCol w:w="196"/>
        <w:gridCol w:w="601"/>
        <w:gridCol w:w="146"/>
        <w:gridCol w:w="146"/>
        <w:gridCol w:w="333"/>
        <w:gridCol w:w="642"/>
        <w:gridCol w:w="146"/>
        <w:gridCol w:w="146"/>
        <w:gridCol w:w="299"/>
        <w:gridCol w:w="782"/>
        <w:gridCol w:w="146"/>
        <w:gridCol w:w="146"/>
        <w:gridCol w:w="196"/>
        <w:gridCol w:w="6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Upfront</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Development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Reimbursements</w:t>
              <w:br/>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partner and agreement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ITI (April 2021)</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Roche (December 2021)</w:t>
            </w: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amounts under our collaboration </w:t>
              <w:br/>
              <w:t>   agreements included in the transaction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53,220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Upfront license fees.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Event-based development and regulatory milestones amounts.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Reimbursements and costs-sharing payments.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Regarding the accounting treatment for the Immunomic Therapeutics, Inc.("ITI") collaborative agreement, the license and related development deliverables were determined to be highly interdependent and interrelated and have been combined as one performance obligation. Delivery is determined to be over time and revenue will be recognized utilizing an input method of costs incurred over total estimated costs in the work plan. The regulatory milestones are variable considerations that are fully constrained until the uncertainty of each milestone has been resolved. Sales-based milestones and royalties are variable considerations that will not be included in the transaction price until the related commercialization and sales have occurred. The cost reimbursements are considered variable consideration and are included in the transaction price. Revenues related to the cost reimbursements are presented gross on the consolidated statement of operations instead of a reduction to the costs being reimbursed. We currently estimate the unsatisfied performance obligations within the contract to be completed during the year ending December 31, 2025.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Regarding the accounting treatment for the Roche Agreement collaboration, the license, technology transfer and related clinical deliverables were determined to be highly interdependent and interrelated and have been combined as one performance obligation. Delivery is determined to be over time and revenue will be recognized utilizing an input method of costs incurred over total estimated costs to complete the performance obligation. A material customer option for additional goods and services was included in the transaction price, and $12.0 million of the transaction price was allocated to the second performance obligation. The option will be recognized when the customer exercises the option or when this option expires. Regulatory and development milestones are variable considerations that are fully constrained until the uncertainty of each milestone has been resolved. Sales-based milestones and royalties are variable considerations that will not be included in the transaction price until the related commercialization milestones and sales targets have occurred. We currently estimate the unsatisfied performance obligations within the contract to be substantially completed by December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consolidated balance sheet (in thousands):</w:t>
      </w:r>
    </w:p>
    <w:p>
      <w:pPr>
        <w:pStyle w:val="TextBody"/>
        <w:bidi w:val="0"/>
        <w:spacing w:before="120" w:after="283"/>
        <w:jc w:val="left"/>
        <w:rPr/>
      </w:pPr>
      <w:r>
        <w:rPr/>
        <w:t> </w:t>
      </w:r>
    </w:p>
    <w:tbl>
      <w:tblPr>
        <w:tblW w:w="7585" w:type="dxa"/>
        <w:jc w:val="left"/>
        <w:tblInd w:w="0" w:type="dxa"/>
        <w:tblLayout w:type="fixed"/>
        <w:tblCellMar>
          <w:top w:w="28" w:type="dxa"/>
          <w:left w:w="28" w:type="dxa"/>
          <w:bottom w:w="28" w:type="dxa"/>
          <w:right w:w="28" w:type="dxa"/>
        </w:tblCellMar>
      </w:tblPr>
      <w:tblGrid>
        <w:gridCol w:w="3756"/>
        <w:gridCol w:w="146"/>
        <w:gridCol w:w="357"/>
        <w:gridCol w:w="1143"/>
        <w:gridCol w:w="146"/>
        <w:gridCol w:w="146"/>
        <w:gridCol w:w="403"/>
        <w:gridCol w:w="1097"/>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available-for-sale debt securities classified within cash and cash equivalents and within marketable securities in the Company’s consolidated balance sheet as of December 31, 2024 and 2023 (in thousands):</w:t>
      </w:r>
    </w:p>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4" w:type="dxa"/>
        <w:jc w:val="left"/>
        <w:tblInd w:w="0" w:type="dxa"/>
        <w:tblLayout w:type="fixed"/>
        <w:tblCellMar>
          <w:top w:w="28" w:type="dxa"/>
          <w:left w:w="28" w:type="dxa"/>
          <w:bottom w:w="28" w:type="dxa"/>
          <w:right w:w="28" w:type="dxa"/>
        </w:tblCellMar>
      </w:tblPr>
      <w:tblGrid>
        <w:gridCol w:w="2111"/>
        <w:gridCol w:w="146"/>
        <w:gridCol w:w="336"/>
        <w:gridCol w:w="909"/>
        <w:gridCol w:w="146"/>
        <w:gridCol w:w="146"/>
        <w:gridCol w:w="675"/>
        <w:gridCol w:w="675"/>
        <w:gridCol w:w="146"/>
        <w:gridCol w:w="146"/>
        <w:gridCol w:w="522"/>
        <w:gridCol w:w="858"/>
        <w:gridCol w:w="146"/>
        <w:gridCol w:w="146"/>
        <w:gridCol w:w="239"/>
        <w:gridCol w:w="64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not recognized an allowance for credit losses on any securities in an unrealized loss position as of December 31, 2024 and 2023. The Company believes that any individual unrealized losses represent temporary declines resulting from changes in interest rates, and we intend to hold these marketable debt securities to their maturity.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equity securities are reported at fair value with unrealized gains and losses related to mark-to-market adjustments included in income. Lineage’s marketable equity securities have consisted of shares of common stock of OCX and of HBL. All share prices are determined based on the closing price of OCX and HBL common stock on the last trading day of the applicable quarter. Lineage has not owned any shares of OCX since June 30,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on marketable equity securities for the periods presented (in thousands):</w:t>
      </w:r>
    </w:p>
    <w:p>
      <w:pPr>
        <w:pStyle w:val="TextBody"/>
        <w:bidi w:val="0"/>
        <w:jc w:val="both"/>
        <w:rPr/>
      </w:pPr>
      <w:r>
        <w:rPr/>
        <w:t> </w:t>
      </w:r>
    </w:p>
    <w:tbl>
      <w:tblPr>
        <w:tblW w:w="7781" w:type="dxa"/>
        <w:jc w:val="left"/>
        <w:tblInd w:w="0" w:type="dxa"/>
        <w:tblLayout w:type="fixed"/>
        <w:tblCellMar>
          <w:top w:w="28" w:type="dxa"/>
          <w:left w:w="28" w:type="dxa"/>
          <w:bottom w:w="28" w:type="dxa"/>
          <w:right w:w="28" w:type="dxa"/>
        </w:tblCellMar>
      </w:tblPr>
      <w:tblGrid>
        <w:gridCol w:w="5821"/>
        <w:gridCol w:w="146"/>
        <w:gridCol w:w="228"/>
        <w:gridCol w:w="292"/>
        <w:gridCol w:w="179"/>
        <w:gridCol w:w="157"/>
        <w:gridCol w:w="228"/>
        <w:gridCol w:w="519"/>
        <w:gridCol w:w="2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Loss recognized in earnings on marketable equity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recognized on marketable equity securities held at </w:t>
              <w:br/>
              <w: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and 2023, property and equipment, net was comprised of the following (in thousands):</w:t>
      </w:r>
    </w:p>
    <w:p>
      <w:pPr>
        <w:pStyle w:val="TextBody"/>
        <w:bidi w:val="0"/>
        <w:jc w:val="left"/>
        <w:rPr/>
      </w:pPr>
      <w:r>
        <w:rPr/>
        <w:t> </w:t>
      </w:r>
    </w:p>
    <w:tbl>
      <w:tblPr>
        <w:tblW w:w="7460" w:type="dxa"/>
        <w:jc w:val="left"/>
        <w:tblInd w:w="0" w:type="dxa"/>
        <w:tblLayout w:type="fixed"/>
        <w:tblCellMar>
          <w:top w:w="28" w:type="dxa"/>
          <w:left w:w="28" w:type="dxa"/>
          <w:bottom w:w="28" w:type="dxa"/>
          <w:right w:w="28" w:type="dxa"/>
        </w:tblCellMar>
      </w:tblPr>
      <w:tblGrid>
        <w:gridCol w:w="3691"/>
        <w:gridCol w:w="146"/>
        <w:gridCol w:w="376"/>
        <w:gridCol w:w="1124"/>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$587,000 and $562,000 for the years ended December 31, 2024 and 2023, respectively. These amounts include amortization expense for right-of-use finance lease assets of $55,000 and $50,000 for the years ended December 31, 2024 and 2023,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and 2023, goodwill and intangible assets, net consisted of the following (in thousands):</w:t>
      </w:r>
    </w:p>
    <w:p>
      <w:pPr>
        <w:pStyle w:val="TextBody"/>
        <w:bidi w:val="0"/>
        <w:spacing w:before="120" w:after="283"/>
        <w:jc w:val="both"/>
        <w:rPr/>
      </w:pPr>
      <w:r>
        <w:rPr/>
        <w:t> </w:t>
      </w:r>
    </w:p>
    <w:tbl>
      <w:tblPr>
        <w:tblW w:w="8395" w:type="dxa"/>
        <w:jc w:val="left"/>
        <w:tblInd w:w="0" w:type="dxa"/>
        <w:tblLayout w:type="fixed"/>
        <w:tblCellMar>
          <w:top w:w="28" w:type="dxa"/>
          <w:left w:w="28" w:type="dxa"/>
          <w:bottom w:w="28" w:type="dxa"/>
          <w:right w:w="28" w:type="dxa"/>
        </w:tblCellMar>
      </w:tblPr>
      <w:tblGrid>
        <w:gridCol w:w="4646"/>
        <w:gridCol w:w="146"/>
        <w:gridCol w:w="334"/>
        <w:gridCol w:w="1166"/>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the net tangible and identifiable intangible assets acquired and liabilities assumed in the Asterias Merger, see Note 13 (Commitment and Contingencies) for further discussion on the Asterias Merger. To date, we have not recognized any goodwill impairment.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OPC1 or the VAC platform,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acquired patents and acquired royalty contracts were fully amortized as of the end of the first quarter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recognized $22,000 and $130,000 in amortization expense of intangible assets during each of the years ended December 31,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and 2023, accounts payable and accrued liabilities consist of the following (in thousands):</w:t>
      </w:r>
    </w:p>
    <w:p>
      <w:pPr>
        <w:pStyle w:val="TextBody"/>
        <w:bidi w:val="0"/>
        <w:jc w:val="both"/>
        <w:rPr/>
      </w:pPr>
      <w:r>
        <w:rPr/>
        <w:t> </w:t>
      </w:r>
    </w:p>
    <w:tbl>
      <w:tblPr>
        <w:tblW w:w="5710" w:type="dxa"/>
        <w:jc w:val="left"/>
        <w:tblInd w:w="0" w:type="dxa"/>
        <w:tblLayout w:type="fixed"/>
        <w:tblCellMar>
          <w:top w:w="28" w:type="dxa"/>
          <w:left w:w="28" w:type="dxa"/>
          <w:bottom w:w="28" w:type="dxa"/>
          <w:right w:w="28" w:type="dxa"/>
        </w:tblCellMar>
      </w:tblPr>
      <w:tblGrid>
        <w:gridCol w:w="1981"/>
        <w:gridCol w:w="146"/>
        <w:gridCol w:w="403"/>
        <w:gridCol w:w="1097"/>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reflect those that a market participant would use, and are therefore determined using estimates and assumptions developed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December 31, 2024 and 2023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57"/>
        <w:gridCol w:w="1241"/>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875"/>
        <w:gridCol w:w="146"/>
        <w:gridCol w:w="352"/>
        <w:gridCol w:w="1130"/>
        <w:gridCol w:w="146"/>
        <w:gridCol w:w="146"/>
        <w:gridCol w:w="514"/>
        <w:gridCol w:w="1647"/>
        <w:gridCol w:w="146"/>
        <w:gridCol w:w="146"/>
        <w:gridCol w:w="644"/>
        <w:gridCol w:w="1059"/>
        <w:gridCol w:w="146"/>
        <w:gridCol w:w="146"/>
        <w:gridCol w:w="631"/>
        <w:gridCol w:w="1036"/>
        <w:gridCol w:w="295"/>
      </w:tblGrid>
      <w:tr>
        <w:trPr/>
        <w:tc>
          <w:tcPr>
            <w:tcW w:w="1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OCX and HBL. Both securities have readily determinable fair values quoted on the NASDAQ or TASE (Level 1). These securities are measured at fair value and reported as current assets on the accompanying consolidated balance sheets based on the closing trading price of the security as of the date being presented. Lineage has not owned any shares of OCX since June 30, 2024.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 determining fair value of the liability classified warrants, Lineage utilizes a Black-Scholes option pricing model that maximizes the use of observable inputs and minimizes the use of unobservable inputs to the extent possible. A significant increase or decrease in these Level 3 inputs could result in a significantly higher or lower fair value measurement.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for the year ended December 31, 2024 (in thousands):</w:t>
      </w:r>
    </w:p>
    <w:p>
      <w:pPr>
        <w:pStyle w:val="TextBody"/>
        <w:bidi w:val="0"/>
        <w:jc w:val="both"/>
        <w:rPr/>
      </w:pPr>
      <w:r>
        <w:rPr/>
        <w:t> </w:t>
      </w:r>
    </w:p>
    <w:tbl>
      <w:tblPr>
        <w:tblW w:w="6868" w:type="dxa"/>
        <w:jc w:val="left"/>
        <w:tblInd w:w="0" w:type="dxa"/>
        <w:tblLayout w:type="fixed"/>
        <w:tblCellMar>
          <w:top w:w="28" w:type="dxa"/>
          <w:left w:w="28" w:type="dxa"/>
          <w:bottom w:w="28" w:type="dxa"/>
          <w:right w:w="28" w:type="dxa"/>
        </w:tblCellMar>
      </w:tblPr>
      <w:tblGrid>
        <w:gridCol w:w="4931"/>
        <w:gridCol w:w="146"/>
        <w:gridCol w:w="376"/>
        <w:gridCol w:w="1124"/>
        <w:gridCol w:w="29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w:t>
              <w:br/>
              <w:t>Warrant 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for the year ended December 31, 2024, were as follows:</w:t>
      </w:r>
    </w:p>
    <w:p>
      <w:pPr>
        <w:pStyle w:val="TextBody"/>
        <w:bidi w:val="0"/>
        <w:jc w:val="both"/>
        <w:rPr/>
      </w:pPr>
      <w:r>
        <w:rPr/>
        <w:t> </w:t>
      </w:r>
    </w:p>
    <w:tbl>
      <w:tblPr>
        <w:tblW w:w="4478" w:type="dxa"/>
        <w:jc w:val="left"/>
        <w:tblInd w:w="0" w:type="dxa"/>
        <w:tblLayout w:type="fixed"/>
        <w:tblCellMar>
          <w:top w:w="28" w:type="dxa"/>
          <w:left w:w="28" w:type="dxa"/>
          <w:bottom w:w="28" w:type="dxa"/>
          <w:right w:w="28" w:type="dxa"/>
        </w:tblCellMar>
      </w:tblPr>
      <w:tblGrid>
        <w:gridCol w:w="2626"/>
        <w:gridCol w:w="146"/>
        <w:gridCol w:w="449"/>
        <w:gridCol w:w="106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 - 71.18%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 - 4.30%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 – 3.50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The expected term represents the period from the warrant issuance to the earlier of (a) May 21, 2028, and (b) the 90th day following the date of the public disclosure of the intent to advance OpRegen (also 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putative shareholder class action lawsuits filed in February 2019 and October 2019 challenging the Asterias Merger (see Note 13 (Commitments and Contingencies)), Lineage agreed to pay the expenses for the legal defense of Neal Bradsher, a member of the Lineage board of directors, Broadwood Partners, L.P. (“Broadwood Partners”), a shareholder of Lineage and an affiliate of Mr. Bradsher, and Broadwood Capital, Inc., which serves as the general partner of Broadwood Partners, all of whom were named defendants in the lawsuits, prior to being dismissed. From inception of the matter through July 2023, Lineage incurred approximately $626,000 in legal expenses on behalf of the foregoing parties, and since then Lineage has not incurred any additional such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6, 2024, Lineage entered into a stock purchase agreement with certain investors relating to the purchase and sale in a registered direct offering of an aggregate of 13,461,540 of Lineage’s common shares. The offering price was $1.04 per common share. The offering closed on February 8, 2024. Broadwood Partners purchased 6,730,770 common shares in the offering and Don Bailey, a member of Lineage’s board of directors, purchased 96,155 shares in the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19, 2024, Lineage entered into securities purchase agreements with certain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In January 2025, following receipt of stockholder approval of the issuance of our common shares and accompanying warrant pursuant to the terms of the securities purchase agreement between us and Broadwood Partners, Broadwood Partners purchased 7,894,737 common shares and an accompanying warrant to purchase an aggregate of up to 7,894,737 common shares. Such warrant will be exercisable for one common share at an exercise price of $0.91 per common share commencing on May 21, 2025 and will expire on the earlier of (a) May 21, 2028, and (b) the 90th day following the date of the public disclosure of the intent to advance OpRegen (also 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no par value.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As of December 31, 2024 and 2023, there were no preferred shares issued or outstanding.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Lineage was authorized to issue 450,000,000 common shares, no par value. As of December 31, 2024 and 2023, there were 220,416,326 and 174,986,671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May 2020, Lineage entered into a Controlled Equity Offering</w:t>
      </w:r>
      <w:r>
        <w:rPr>
          <w:rFonts w:ascii="Times New Roman" w:hAnsi="Times New Roman"/>
          <w:color w:val="000000"/>
          <w:sz w:val="9"/>
        </w:rPr>
        <w:t>SM</w:t>
      </w:r>
      <w:r>
        <w:rPr>
          <w:rFonts w:ascii="Times New Roman" w:hAnsi="Times New Roman"/>
          <w:color w:val="000000"/>
          <w:sz w:val="20"/>
        </w:rPr>
        <w:t xml:space="preserve"> Sales Agreement (the “Prior Sales Agreement”) with Cantor Fitzgerald &amp; Co., as sales agent, pursuant to which Lineage could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2021, Lineage filed a prospectus supplement with the SEC in connection with the offer and sale of up to $64.1 million of common shares through the ATM program under the Prior Sales Agreement, which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updated, amended and supplemented by a prospectus supplement filed with the SEC on May 18, 2023 (the prospectus supplement filed in December 2021, as updated, amended and supplemented by the prospectus supplement filed in May 2023, the “Prior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 </w:t>
      </w:r>
    </w:p>
    <w:p>
      <w:pPr>
        <w:pStyle w:val="TextBody"/>
        <w:bidi w:val="0"/>
        <w:spacing w:before="240" w:after="283"/>
        <w:jc w:val="both"/>
        <w:rPr>
          <w:rFonts w:ascii="Times New Roman" w:hAnsi="Times New Roman"/>
          <w:sz w:val="20"/>
        </w:rPr>
      </w:pPr>
      <w:r>
        <w:rPr>
          <w:rFonts w:ascii="Times New Roman" w:hAnsi="Times New Roman"/>
          <w:color w:val="000000"/>
          <w:sz w:val="20"/>
        </w:rPr>
        <w:t>Prior to its termination in March 2024, Lineage had sold 4,912,803 common shares under the Prior Prospectus Supplement at a weighted average price per share of $1.41 for gross proceeds of $6.9 million. During the three months ended March 31, 2024, Lineage sold 30,000 common shares under the Prior Prospectus Supplement at a weighted average price per share of $1.23 for gross proceeds of $37,000. During the three months ended June 30, 2024, Lineage sold 25,830 common shares under the 2024 Prospectus Supplement at a weighted average price per share of $1.30 for gross proceeds of $33,000. Lineage did not sell any common shares under the 2024 Prospectus Supplement during the six months ended December 31, 2024.</w:t>
      </w:r>
      <w:r>
        <w:rPr>
          <w:rFonts w:ascii="Times New Roman" w:hAnsi="Times New Roman"/>
          <w:color w:val="0000FF"/>
          <w:sz w:val="20"/>
        </w:rPr>
        <w:t xml:space="preserve"> </w:t>
      </w:r>
      <w:r>
        <w:rPr>
          <w:rFonts w:ascii="Times New Roman" w:hAnsi="Times New Roman"/>
          <w:color w:val="000000"/>
          <w:sz w:val="20"/>
        </w:rPr>
        <w:t>As of December 31, 2024, $39.97 million remained available for sale under the 2024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2024 Prospectus Supplement are registered pursuant to Lineage’s effective shelf registration statement on Form S-3 (File No. 333-277758), which was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February 2024 Registered Direct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6, 2024, Lineage entered into a stock purchase agreement with certain investors relating to the purchase and sale in a registered direct offering of an aggregate of 13,461,540 of Lineage’s common shares. The offering price was $1.04 per common share. The offering closed on February 8, 2024 with gross proceeds of $14.0 million. Finance related fees for this offering totaled approximately $0.1 million. See Note 9 (Related Party Transactions) for shares issued in this offering to a related party.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November 2024 Registered Direct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19,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21, 2024, we closed the first tranche of the offering and in connection therewith we issued to the unaffiliated healthcare focused institutional investors an aggregate of 31,578,951 common shares and accompanying warrants to purchase an aggregate of up to 31,578,951 of our common shares at a combined purchase price of $0.76 per common share and accompanying warrant. Each warrant is exercisable for one common share at an exercise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$0.91 per common share and will be exercisable beginning May 21, 2025 and will expire on the earlier of (a) May 21, 2028, and (b) the 90th day following the date of the public disclosure of the intent to advance OpRegen® (also known as RG6501) into a multi-center phase 2 or 3 clinical trial which includes a control or comparator arm, or if the date of such public disclosure occurs prior to May 21, 2025, the 90th day following May 21, 2025, with each such 90-day period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 The aggregate gross proceeds from this closing was $24 million, with $2.3 million for related issuance costs. The warrants issued at this closing had a fair value of approximately $7.9 million at issuance and are classified as warrant liabilities in the Company’s consolidated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an aggregate of up to 7,894,737 common shares, at a combined purchase price of $0.76 per common share and accompanying warrant. The terms of such warrant are substantially the same as those described above. The aggregate gross proceeds from this closing was $6 million, with approximately $0.5 million for related issuance costs.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offering described above. Pursuant to the engagement letter, we paid Wainwright a cash fee equal to 7% of the aggregate gross proceeds and a management fee equal to 1.0%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1,973,684 of our common shares. The warrants issued to Wainwright (or its designees) in connection with the first closing had a fair value of approximately $0.4 million at issuance and are classified as warrant liabilities in the Company’s consolidated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purchase and sale of our common shares and accompanying warrants described above was made pursuant to the registration statement on Form S-3 (File No. 333-277758), which was declared effective by the Securities and Exchange Commission on May 14, 2024. </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in September 2023, our shareholders approved an amendment to increase the number of common shares that may be issued thereunder by 19,500,000 (as amended to date, the “2021 Plan”). The 2021 Plan provides for the grant of incentive stock options, non-statutory stock options, stock appreciation rights, restricted stock awards, RSUs, and other stock awards.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34,500,000 shares and (ii) the number of shares subject to awards granted under the Lineage Cell Therapeutics Inc. 2012 Equity Incentive Plan (the “2012 Plan”) that were outstanding when the 2021 Plan became effective and are not issued because such awards expire or otherwise terminate. As a result of the approval of the 2021 Plan by our shareholders, no additional awards will be granted under the 2012 Plan. As of December 31, 2024, there were 21,877,761 shares available for grant under the 2021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748"/>
        <w:gridCol w:w="1232"/>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5626" w:type="dxa"/>
        <w:jc w:val="left"/>
        <w:tblInd w:w="0" w:type="dxa"/>
        <w:tblLayout w:type="fixed"/>
        <w:tblCellMar>
          <w:top w:w="28" w:type="dxa"/>
          <w:left w:w="28" w:type="dxa"/>
          <w:bottom w:w="28" w:type="dxa"/>
          <w:right w:w="28" w:type="dxa"/>
        </w:tblCellMar>
      </w:tblPr>
      <w:tblGrid>
        <w:gridCol w:w="2596"/>
        <w:gridCol w:w="146"/>
        <w:gridCol w:w="234"/>
        <w:gridCol w:w="772"/>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jc w:val="both"/>
        <w:rPr/>
      </w:pPr>
      <w:r>
        <w:rPr/>
        <w:t> </w:t>
      </w:r>
    </w:p>
    <w:tbl>
      <w:tblPr>
        <w:tblW w:w="10154" w:type="dxa"/>
        <w:jc w:val="left"/>
        <w:tblInd w:w="0" w:type="dxa"/>
        <w:tblLayout w:type="fixed"/>
        <w:tblCellMar>
          <w:top w:w="28" w:type="dxa"/>
          <w:left w:w="28" w:type="dxa"/>
          <w:bottom w:w="28" w:type="dxa"/>
          <w:right w:w="28" w:type="dxa"/>
        </w:tblCellMar>
      </w:tblPr>
      <w:tblGrid>
        <w:gridCol w:w="3541"/>
        <w:gridCol w:w="146"/>
        <w:gridCol w:w="199"/>
        <w:gridCol w:w="926"/>
        <w:gridCol w:w="166"/>
        <w:gridCol w:w="146"/>
        <w:gridCol w:w="350"/>
        <w:gridCol w:w="775"/>
        <w:gridCol w:w="146"/>
        <w:gridCol w:w="146"/>
        <w:gridCol w:w="250"/>
        <w:gridCol w:w="800"/>
        <w:gridCol w:w="146"/>
        <w:gridCol w:w="146"/>
        <w:gridCol w:w="534"/>
        <w:gridCol w:w="1446"/>
        <w:gridCol w:w="2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option award is estimated on the date of grant using a Black-Scholes option pricing model applying the weighted-average assumptions noted in the following table:</w:t>
      </w:r>
    </w:p>
    <w:p>
      <w:pPr>
        <w:pStyle w:val="TextBody"/>
        <w:bidi w:val="0"/>
        <w:jc w:val="both"/>
        <w:rPr/>
      </w:pPr>
      <w:r>
        <w:rPr/>
        <w:t> </w:t>
      </w:r>
    </w:p>
    <w:tbl>
      <w:tblPr>
        <w:tblW w:w="4450" w:type="dxa"/>
        <w:jc w:val="left"/>
        <w:tblInd w:w="0" w:type="dxa"/>
        <w:tblLayout w:type="fixed"/>
        <w:tblCellMar>
          <w:top w:w="28" w:type="dxa"/>
          <w:left w:w="28" w:type="dxa"/>
          <w:bottom w:w="28" w:type="dxa"/>
          <w:right w:w="28" w:type="dxa"/>
        </w:tblCellMar>
      </w:tblPr>
      <w:tblGrid>
        <w:gridCol w:w="1996"/>
        <w:gridCol w:w="146"/>
        <w:gridCol w:w="177"/>
        <w:gridCol w:w="566"/>
        <w:gridCol w:w="329"/>
        <w:gridCol w:w="177"/>
        <w:gridCol w:w="177"/>
        <w:gridCol w:w="566"/>
        <w:gridCol w:w="31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Operating expenses include stock-based compensation expense as follows (in thousands):</w:t>
      </w:r>
    </w:p>
    <w:p>
      <w:pPr>
        <w:pStyle w:val="TextBody"/>
        <w:bidi w:val="0"/>
        <w:jc w:val="both"/>
        <w:rPr/>
      </w:pPr>
      <w:r>
        <w:rPr/>
        <w:t> </w:t>
      </w:r>
    </w:p>
    <w:tbl>
      <w:tblPr>
        <w:tblW w:w="6044"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December 31, 2024, total unrecognized compensation costs related to unvested stock options and unvested RSUs under all equity plans, were $8.2 million, which is expected to be recognized as expense over a weighted average period of approximately 2.4 years for stock options and 1.1 years for RSUs. For the years ended December 31, 2024 and 2023, the weighted average grant-date fair value per share for options granted during the year under the 2021 Plan was $0.77 and $1.00, respectively. No RSUs were granted in the year ended December 31, 2024 or 2023. The total intrinsic value of options exercised during the years ended December 31, 2024 and 2023 was $135,000 and $38,000, respectively. The fair value of the options vested during the years ended December 31, 2024 and 2023 was $4,853,000 and $3,947,000,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2024, Lineage did not record a tax provision or deferred tax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2023, Lineage recorded a $1.8 million deferred tax benefit, due to the ability to offset certain deferred tax assets against the deferred tax liability associated with IPR&amp;D, and the related release of the valuation allowance. It was determined that a portion of the deferred tax liability related to the indefinite lived assets may be realized prior to the expiration of certain pre 2018 net operating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domestic and foreign breakout of loss before net income tax benefit was as follows:</w:t>
      </w:r>
    </w:p>
    <w:p>
      <w:pPr>
        <w:pStyle w:val="TextBody"/>
        <w:bidi w:val="0"/>
        <w:jc w:val="both"/>
        <w:rPr/>
      </w:pPr>
      <w:r>
        <w:rPr/>
        <w:t> </w:t>
      </w:r>
    </w:p>
    <w:tbl>
      <w:tblPr>
        <w:tblW w:w="5854" w:type="dxa"/>
        <w:jc w:val="left"/>
        <w:tblInd w:w="0" w:type="dxa"/>
        <w:tblLayout w:type="fixed"/>
        <w:tblCellMar>
          <w:top w:w="28" w:type="dxa"/>
          <w:left w:w="28" w:type="dxa"/>
          <w:bottom w:w="28" w:type="dxa"/>
          <w:right w:w="28" w:type="dxa"/>
        </w:tblCellMar>
      </w:tblPr>
      <w:tblGrid>
        <w:gridCol w:w="3111"/>
        <w:gridCol w:w="146"/>
        <w:gridCol w:w="211"/>
        <w:gridCol w:w="736"/>
        <w:gridCol w:w="166"/>
        <w:gridCol w:w="146"/>
        <w:gridCol w:w="211"/>
        <w:gridCol w:w="736"/>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net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differed from the amounts computed by applying the indicated current U.S. federal income tax rate to pretax losses from operations as a result of the following:</w:t>
      </w:r>
    </w:p>
    <w:p>
      <w:pPr>
        <w:pStyle w:val="TextBody"/>
        <w:bidi w:val="0"/>
        <w:jc w:val="both"/>
        <w:rPr/>
      </w:pPr>
      <w:r>
        <w:rPr/>
        <w:t> </w:t>
      </w:r>
    </w:p>
    <w:tbl>
      <w:tblPr>
        <w:tblW w:w="6311" w:type="dxa"/>
        <w:jc w:val="left"/>
        <w:tblInd w:w="0" w:type="dxa"/>
        <w:tblLayout w:type="fixed"/>
        <w:tblCellMar>
          <w:top w:w="28" w:type="dxa"/>
          <w:left w:w="28" w:type="dxa"/>
          <w:bottom w:w="28" w:type="dxa"/>
          <w:right w:w="28" w:type="dxa"/>
        </w:tblCellMar>
      </w:tblPr>
      <w:tblGrid>
        <w:gridCol w:w="3796"/>
        <w:gridCol w:w="146"/>
        <w:gridCol w:w="191"/>
        <w:gridCol w:w="493"/>
        <w:gridCol w:w="434"/>
        <w:gridCol w:w="191"/>
        <w:gridCol w:w="191"/>
        <w:gridCol w:w="493"/>
        <w:gridCol w:w="3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Computed tax benefit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GILTI inclusion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primary components of the deferred tax assets and liabilities at December 31, 2024 and 2023 were as follows (in thousands):</w:t>
      </w:r>
    </w:p>
    <w:p>
      <w:pPr>
        <w:pStyle w:val="TextBody"/>
        <w:bidi w:val="0"/>
        <w:jc w:val="both"/>
        <w:rPr/>
      </w:pPr>
      <w:r>
        <w:rPr/>
        <w:t> </w:t>
      </w:r>
    </w:p>
    <w:tbl>
      <w:tblPr>
        <w:tblW w:w="7640" w:type="dxa"/>
        <w:jc w:val="left"/>
        <w:tblInd w:w="0" w:type="dxa"/>
        <w:tblLayout w:type="fixed"/>
        <w:tblCellMar>
          <w:top w:w="28" w:type="dxa"/>
          <w:left w:w="28" w:type="dxa"/>
          <w:bottom w:w="28" w:type="dxa"/>
          <w:right w:w="28" w:type="dxa"/>
        </w:tblCellMar>
      </w:tblPr>
      <w:tblGrid>
        <w:gridCol w:w="3871"/>
        <w:gridCol w:w="146"/>
        <w:gridCol w:w="334"/>
        <w:gridCol w:w="1166"/>
        <w:gridCol w:w="166"/>
        <w:gridCol w:w="146"/>
        <w:gridCol w:w="334"/>
        <w:gridCol w:w="1166"/>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Deferred tax assets/(liabilities):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 and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Marketable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has established an accrual for uncertain tax positions related to its U.S. research and development credits. As of December 31, 2024 and 2023, there was no accrued interest related to uncertain tax positions. A reconciliation of beginning and ending balances for unrecognized tax benefits is as follows (in thousands):</w:t>
      </w:r>
    </w:p>
    <w:p>
      <w:pPr>
        <w:pStyle w:val="TextBody"/>
        <w:bidi w:val="0"/>
        <w:spacing w:before="40" w:after="283"/>
        <w:jc w:val="both"/>
        <w:rPr/>
      </w:pPr>
      <w:r>
        <w:rPr/>
        <w:t> </w:t>
      </w:r>
    </w:p>
    <w:tbl>
      <w:tblPr>
        <w:tblW w:w="6942" w:type="dxa"/>
        <w:jc w:val="left"/>
        <w:tblInd w:w="0" w:type="dxa"/>
        <w:tblLayout w:type="fixed"/>
        <w:tblCellMar>
          <w:top w:w="28" w:type="dxa"/>
          <w:left w:w="28" w:type="dxa"/>
          <w:bottom w:w="28" w:type="dxa"/>
          <w:right w:w="28" w:type="dxa"/>
        </w:tblCellMar>
      </w:tblPr>
      <w:tblGrid>
        <w:gridCol w:w="4511"/>
        <w:gridCol w:w="146"/>
        <w:gridCol w:w="226"/>
        <w:gridCol w:w="614"/>
        <w:gridCol w:w="157"/>
        <w:gridCol w:w="157"/>
        <w:gridCol w:w="226"/>
        <w:gridCol w:w="614"/>
        <w:gridCol w:w="291"/>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for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Additions for tax positions related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2023, Lineage had gross federal net operating loss carryforwards, of approximately $177 million and $163.1 million, respectively. The pre-2018 federal net operating loss carryforwards expire in varying amounts between 2030 and 2037. The post-2017 federal net operating loss carryforwards can be carried forward indefinitely and can only offset 80 percent of taxable income. As of December 31, 2024 and 2023, Lineage’s foreign subsidiaries had net operating loss carryforwards of approximately $63.4 and $64.8 million, respectively, which carryforward indefinitely.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2023, Lineage has net operating losses of $213.6 million and $188.8 million, respectively for state tax purposes. The California net operating losses expire in varying amounts between 2030 and 2044.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state of California suspended the use of NOL deductions for tax years 2024 through 2026 if the California taxable income is greater than or equal to $1 million. Accordingly, the Company may not be able to offset taxable income with their NOL carryforwards for these years. The state of California also limited the use of their research and development credits to $5 million for tax years 2024 through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and 2023, Lineage had research tax credit carryforwards for federal tax purposes of $4.7 million and $4.3 million, respectively. These tax credits reflect the amounts for Lineage and its’ domestic subsidiaries. For federal purposes, the credits generated each year have a carryforward period of 20 years. The federal tax credits expire in varying amounts between 2023 and 2044.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and 2023, Lineage had research tax credit carryforwards for California tax purposes of $4.7 million and $4.6 million, respectively. These tax credits reflect the amounts for Lineage and its’ domestic subsidiaries. The state tax credits have no expiration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2021, Lineage and its subsidiary, CCN, entered into a Collaboration and License Agreement with Roche, wherein Lineage granted to Roche exclusive worldwide rights to develop and commercialize RPE cell therapies. Under the agreement Roche paid Lineage a $50.0 million upfront payment, which was received in January of 2022. See Note 13 (Commitments and Contingencies)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tax years beginning on or after January 1, 2022, the Tax Cuts and Jobs Act of 2017 (“TCJA”) eliminates the option to currently deduct research and development expenses and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and defer this capitalization and amortization requirement for research activities performed in the United States, it is not certain that this provision will be repealed or otherwise modified. If the requirement is not repealed or replaced, it will continue to defer our tax deduction for research and development expense in future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December 2021, in an intercompany transaction, Lineage acquired the economic rights to CCN’s interest in certain intellectual property. This transaction generated a gain to CCN of $31.7 million which was fully offset by net operating loss carryforwards in Israel. For book and California income tax purposes, this transaction eliminates in consolidation. For federal income tax purposes, the activities of our foreign subsidiaries are not included in the consolidated tax return. However, under the regulations related to global intangible low-taxed income (“GILTI”), the profits of our foreign subsidiaries may be included, see further discussion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2017 Tax Act subjects a U.S. stockholder to GILTI earned by certain foreign subsidiaries. In general, GILTI is the excess of a U.S. stockholder’s total net foreign income over a deemed return on tangible assets. The provision further allows a deduction of 50% of GILTI, however this deduction is limited to the company’s pre-GILTI U.S. income. For the years ended December 31, 2024 and 2023, Lineage’s combined foreign entities generated a profit arising from intercompany transactions. As a result, there was an inclusion of $1.2 million and $1.1 million for GILTI purposes for 2024 and 2023, respectively. The resulting net income for federal income tax purposes was fully offset by their federal net operating loss carryforwards.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Tax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Revenue Code Section 382 places a limitation (“Section 382 Limitation”) on the amount of taxable income that can be offset by NOL carryforwards after a change in control (generally greater than 50% change in ownership within a three-year period) of a loss corporation. California has similar rules. Generally, after a change in control, a loss corporation cannot deduct NOL carryforwards in excess of the Section 382 Limitation. Due to these “change in ownership” provisions, utilization of the NOL and tax credit carryforwards may be subject to an annual limitation regarding their utilization against taxable income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files a U.S. federal income tax return as well as a California combined and foreign income tax returns. In general, Lineage is no longer subject to tax examination by major taxing authorities for years before 2020. Although the statute is closed for purposes of assessing additional income and tax in these years, the taxing authorities may still make adjustments to the NOL and credit carryforwards used in open years. Therefore, the statute should be considered open as it relates to the NOL and credit carryforwards used in open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may be subject to potential examination by U.S. federal, U.S. states or foreign jurisdiction authorities in the areas of income taxes. These potential examinations may include questioning the timing and amount of deductions, the nexus of income among various tax jurisdictions and compliance with U.S. federal, U.S. state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tax laws. Based on Lineage’s assessment, no liabilities for uncertain tax positions should be recorded as of December 31, 2024 and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Lineage’s practice is to recognize interest and penalties related to income tax matters in tax expense. As of December 31, 2024 and 2023, Lineage has no accrued interest and penalties.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the term was extended for a period of thirty-seven months (the “Extended Term”) commencing on March 1, 2023 (the “Extended Term Commencement Date”). Monthly base rent for the first twelve months of the Extended Term was $25,200, and is subject to 3% annual increases. Rent was abated for months two through four of the Extended Term. As security for the performance of its obligations under the lease, Lineage provided the landlord a security deposit of $17,850, which is included in deposits and other long-term assets on the consolidated balance sheet as of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and was originally set to expire on March 31, 2024. In February 2024, Lineage extended the term of the sublease for 24 months through March 31, 2026 on similar terms. During the extension period, the base rent is $23,000 per month for the first twelve months and will increase to $23,500 for the remaining twelve months. As security for the performance of its obligations under the sublease, Lineage provided the landlord with a security deposit of $22,500, which is included in deposits and other long-term assets on the consolidated balance sheet as of December 31, 2024.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$45,000 as of December 31, 2024),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held as restricted cash during the term of the lease. The U.S. dollar value of the ILS denominated security deposits fluctuates based upon currency exchange rates and was $465,000 as of December 31, 2024, which is included in deposits and other long-term assets on the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5311"/>
        <w:gridCol w:w="146"/>
        <w:gridCol w:w="226"/>
        <w:gridCol w:w="614"/>
        <w:gridCol w:w="157"/>
        <w:gridCol w:w="157"/>
        <w:gridCol w:w="226"/>
        <w:gridCol w:w="614"/>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355" w:type="dxa"/>
        <w:jc w:val="left"/>
        <w:tblInd w:w="0" w:type="dxa"/>
        <w:tblLayout w:type="fixed"/>
        <w:tblCellMar>
          <w:top w:w="28" w:type="dxa"/>
          <w:left w:w="28" w:type="dxa"/>
          <w:bottom w:w="28" w:type="dxa"/>
          <w:right w:w="28" w:type="dxa"/>
        </w:tblCellMar>
      </w:tblPr>
      <w:tblGrid>
        <w:gridCol w:w="3591"/>
        <w:gridCol w:w="146"/>
        <w:gridCol w:w="352"/>
        <w:gridCol w:w="953"/>
        <w:gridCol w:w="271"/>
        <w:gridCol w:w="1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December 31, 2024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394"/>
        <w:gridCol w:w="791"/>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$1.1 million for the twelve months ended December 31, 2024 and 2023,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paid Lineage a $50.0 million upfront payment and Lineage is eligible to receive up to an additional $620.0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the ongoing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2022, Lineage received the $50.0 million upfront payment from Roche. Subsequently, Lineage, via CCN, paid $12.1 million to the IIA, and $8.9 million to Hadasit Medical Research Services and Development Ltd. (“Hadasit”). Such payments were made in accordance with obligations under the Innovation Law (as discussed below) and under the terms of CCN’s agreements with Hadasit (as discussed below). The payment obligation to Hadasit was reduced by $1.9 million in accordance with the provisions of such agreements discussed below that reduce the sublicensing fee payable to Hadasit for costs related to Lineage’s performance obligations under the Roche Agreement. To the extent such costs are not incurred within five years after the execution of the Roche Agreement, CCN will be required to pay Hadasit 21.5% of the amount of costs not incurred.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December 31, 2024, the aggregate cap amount was approximately $95.4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Second Amendment to Clinical Trial and Option Agreement and License Agreement with Cancer Research UK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CRT effectuated the option by simultaneously entering into a license agreement (the “CRT License Agreement”) pursuant to which Lineage paid a signature fee of £1,250,000 (approximately $1.6 million based upon exchange rates in effect when the fee was paid). For the primary licensed product for the first indication, the CRT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Either party may terminate the CRT License Agreement for the uncured material breach of the other party. CRT may terminate the CRT License Agreement in the case of Lineage’s insolvency or if Lineage ceases all development and commercialization of all products under the CRT License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As of December 31, 2024, we have not included these commitments on our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Asterias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2018, Lineage, Asterias Biotherapeutics, Inc. (“Asterias”), and Patrick Merger Sub, Inc., a wholly owned subsidiary of Lineage, entered into an Agreement and Plan of Merger pursuant to which Lineage agreed to acquire all of the outstanding common stock of Asterias in a stock-for-stock transaction (the “Asterias Merger”). The Asterias Merger closed in March 2019. In October 2019, a putative class action lawsuit was filed against the company and certain other named defendants challenging the Asterias Merger.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2023, the court approved a Stipulation and Agreement of Compromise and Settlement pursuant to which, Lineage and certain insurers of the defendants paid $10.65 million (the “Settlement Amount”) into a fund created for the benefit of the purported class and in consideration for the full and final release, settlement and discharge of all claims. Approximately $7.12 million of the Settlement Amount was funded by certain insurers and approximately $3.53 million was paid by Lineage during the first quarter of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and all defendants have denied, and continue to deny, the claims alleged in the lawsuit and the settlement does not reflect or constitute any admission, concession, presumption, proof, evidence or finding of any liability, fault, wrongdoing or injury or damages, or of any wrongful conduct, acts or omissions on the part any defendant.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Premvia Litigation Settlement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2019, the Company, along with other named defendants, was sued in the Superior Court of the State of California in a matter captioned Gonzalez v. Aronowitz, M.D., et al. The plaintiff asserted medical negligence and product liability causes of action relating to the 2017 and 2018 use in a clinical trial of a product candidate, Premvia, that the Company is no longer developing and has no plans to pursue, and that is not related to the cell therapy candidates the Company currently is developing. In February 2023, the Company and the other defendants each entered into settlement agreements with the plaintiff pursuant to which the defendants without admitting any liability, which the defendants expressly denied, each agreed to pay specified amounts to the plaintiff in exchange for a full settlement and release and discharge of claims. The Company’s insurance covered the full amount paid by the Company excluding the $25,000 insurance deductible.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17, 2023, CCN received a motion for disclosure of documents pursuant to Section 198A of the Israeli Companies Law 5759-1999. The motion was filed in the district court in Tel Aviv-Yafo (the “Court”) by HBL Hadasit Bio-Holdings Ltd. (“HBL”), currently an approximately 5% shareholder of CCN.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alleges, among other things, that Lineage, in its capacity as CCN’s controlling shareholder, and members of CCN’s board of directors caused damage to CCN because the Intercompany Agreement was an interested party transaction that was not fairly priced and exploits CCN’s resources for the benefit of Lineage. The motion seeks an order to compel CCN to disclose and deliver to HBL the documents described in the motion, such additional, cumulative, or alternative relief as the court deems appropriate, and reimbursement of HBL’s expenses, including attorneys’ fees. The Court held a hearing on the motion on March 14, 2024 at which the Court proposed, and the parties agreed, to retain a third-party valuation firm to assess the fairness of the valuation that was performed in support of the Intercompany Agreement. It is impossible at this time to assess whether the outcome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December 31, 2024 or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sales, respectively, in our consolidated statements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defined contribution 401(k) plan for all employees. Under the terms of the plan, employees may make voluntary contributions as a percentage or defined amount of compensation. We provide a safe harbor contribution of up to 5.0% of the employee’s compensation, not to exceed eligible limits, and subject to employee participation. For each of the years ended December 31, 2024 and 2023, we incurred approximately $0.2 million in expenses related to the safe harbor contribution.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chief operating decision maker (“CODM”), the Chief Executive Officer, manages the Company’s business activities as a single operating and reportable segment at the consolidated level. The information in our consolidated financial statements is the only regularly provided financial information our CODM receives and there are no other significant expense categories regularly reviewed. Accordingly, our CODM uses consolidated net loss to measure segment profit or loss, allocate resources and assess performance. Further, the CODM reviews and utilizes revenue and functional expenses (cost of sales, research and development, and general and administrative) at the consolidated level to manage the Company’s operations. Other segment items included in consolidated net loss are interest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marketable equity securities, change in fair value of warrant liability, foreign currency transaction loss, and other income (expense), and the provision for income tax benefit, which are reflected in the consolidated statements of comprehensive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Enterprise-Wide Disclosures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Geographic Area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years ended December 31, 2024 and 2023 none of our revenue was generated outside of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composition of Lineage’s long-lived tangible assets, consisting of plant and equipment, net, and operating lease right-of-use assets between those in the United States and in foreign countries, as of December 31, 2024 and 2023, is set forth below (in thousands):</w:t>
      </w:r>
    </w:p>
    <w:p>
      <w:pPr>
        <w:pStyle w:val="TextBody"/>
        <w:bidi w:val="0"/>
        <w:jc w:val="left"/>
        <w:rPr/>
      </w:pPr>
      <w:r>
        <w:rPr/>
        <w:t> </w:t>
      </w:r>
    </w:p>
    <w:tbl>
      <w:tblPr>
        <w:tblW w:w="6614" w:type="dxa"/>
        <w:jc w:val="left"/>
        <w:tblInd w:w="0" w:type="dxa"/>
        <w:tblLayout w:type="fixed"/>
        <w:tblCellMar>
          <w:top w:w="28" w:type="dxa"/>
          <w:left w:w="28" w:type="dxa"/>
          <w:bottom w:w="28" w:type="dxa"/>
          <w:right w:w="28" w:type="dxa"/>
        </w:tblCellMar>
      </w:tblPr>
      <w:tblGrid>
        <w:gridCol w:w="1201"/>
        <w:gridCol w:w="146"/>
        <w:gridCol w:w="249"/>
        <w:gridCol w:w="674"/>
        <w:gridCol w:w="172"/>
        <w:gridCol w:w="172"/>
        <w:gridCol w:w="249"/>
        <w:gridCol w:w="674"/>
        <w:gridCol w:w="146"/>
        <w:gridCol w:w="146"/>
        <w:gridCol w:w="295"/>
        <w:gridCol w:w="798"/>
        <w:gridCol w:w="204"/>
        <w:gridCol w:w="204"/>
        <w:gridCol w:w="295"/>
        <w:gridCol w:w="798"/>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 right-of-use assets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Assets in foreign countries principally include laboratory equipment and leasehold improvements in Israel.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19,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Each warrant has an exercise price of $0.91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offering of the securities to Broadwood Partners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an aggregate of up to 7,894,737 common shares, at a combined purchase price of $0.76 per common share and accompanying warrant. The terms of such warrant are the same as those described above. The aggregate gross proceeds from this closing was $6 million, with approximately $0.5 million for related issuance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Wainwright engagement letter, we paid Wainwright a cash fee equal to 7% of the aggregate gross proceeds and a management fee equal to 1.0% of the aggregate gross proceeds we received at this closing. In addition, at this second closing, we issued to Wainwright (or its designees) warrants to purchase our common shares with terms that are substantially similar to those described above except that the warrants issuable to Wainwright have an exercise price of $0.95 per share. In the aggregate we issued to Wainwright (or its designees) warrants to purchase 394,736 of our common shares in connection with this closing. See Note 10 (Shareholders’ Equity) for additional information regarding the registered direct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item_9_changes_in_and_disagreements"/>
      <w:bookmarkEnd w:id="22"/>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23" w:name="item_9a_controls_and_procedures"/>
      <w:bookmarkEnd w:id="2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have reviewed and evaluated the effectiveness of our disclosure controls and procedures as of December 31, 2024. Following this review and evaluation</w:t>
      </w:r>
      <w:r>
        <w:rPr>
          <w:rFonts w:ascii="Times New Roman" w:hAnsi="Times New Roman"/>
          <w:i/>
          <w:color w:val="000000"/>
          <w:sz w:val="20"/>
        </w:rPr>
        <w:t xml:space="preserve">, </w:t>
      </w:r>
      <w:r>
        <w:rPr>
          <w:rFonts w:ascii="Times New Roman" w:hAnsi="Times New Roman"/>
          <w:color w:val="000000"/>
          <w:sz w:val="20"/>
        </w:rPr>
        <w:t>management collectively determined that our disclosure controls and procedures were effective as of December 31, 2024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fourth quarter of 2024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as defined in Exchange Act Rule 13a-15(f), is a process designed by, or under the supervision of, our principal executive officer, and our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The scope of management’s assessment of the effectiveness of internal control over financial reporting includes our consolidated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assessed the effectiveness of our internal control over financial reporting as of December 31, 2024, based on criteria established in the 2013 Internal Control – Integrated Framework issued by the Committee of Sponsoring Organizations of the Treadway Commission. Based on this assessment, management believes that, as of that date, our internal control over financial reporting was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As a non-accelerated filer, we are not required to have, nor have we, engaged our independent registered public accounting firm to perform an audit of internal control over financial reporting pursuant to SEC rules that permit us to provide only management’s report in this Annual Report on Form 10-K</w:t>
      </w:r>
      <w:r>
        <w:rPr>
          <w:rFonts w:ascii="Aptos;sans-serif" w:hAnsi="Aptos;sans-serif"/>
          <w:color w:val="000000"/>
          <w:sz w:val="24"/>
        </w:rPr>
        <w:t>.</w:t>
      </w:r>
    </w:p>
    <w:p>
      <w:pPr>
        <w:pStyle w:val="TextBody"/>
        <w:bidi w:val="0"/>
        <w:spacing w:before="360" w:after="283"/>
        <w:jc w:val="both"/>
        <w:rPr>
          <w:rFonts w:ascii="Times New Roman" w:hAnsi="Times New Roman"/>
          <w:b/>
          <w:color w:val="000000"/>
          <w:sz w:val="20"/>
        </w:rPr>
      </w:pPr>
      <w:bookmarkStart w:id="24" w:name="item_9b_other_information"/>
      <w:bookmarkEnd w:id="24"/>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None.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During the period from October 1, 2024 to December 31, 2024,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pStyle w:val="TextBody"/>
        <w:bidi w:val="0"/>
        <w:spacing w:before="360" w:after="283"/>
        <w:jc w:val="both"/>
        <w:rPr>
          <w:rFonts w:ascii="Times New Roman" w:hAnsi="Times New Roman"/>
          <w:sz w:val="20"/>
        </w:rPr>
      </w:pPr>
      <w:bookmarkStart w:id="25" w:name="item_9c_disclosure_regarding_foreign"/>
      <w:bookmarkEnd w:id="2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 xml:space="preserve">9C. </w:t>
      </w:r>
      <w:r>
        <w:rPr>
          <w:rFonts w:ascii="Times New Roman" w:hAnsi="Times New Roman"/>
          <w:b/>
          <w:caps/>
          <w:color w:val="000000"/>
          <w:sz w:val="20"/>
        </w:rPr>
        <w:t>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part_iii"/>
      <w:bookmarkEnd w:id="26"/>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27" w:name="item_10_directors_executive_officers"/>
      <w:bookmarkEnd w:id="27"/>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to be filed with the SEC within 120 days after December 31, 2024, in connection with the solicitation of proxies for our 2025 annual meeting of shareholders (the “2025 Proxy Statement”), and is incorporated herein by reference.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a written Code of Ethics that applies to our principal executive officer, our principal financial officer and accounting officer, our other executive officers, and our directors. The purpose of the Code of Ethics is to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Securities and Exchange Commission and in our other public communications; (iii) compliance with applicable governmental rules and regulations; (iv) prompt internal reporting of violations of the Code of Ethics to an appropriate person or persons identified in the Code; and (v) accountability for adherence to the Code. A copy of our Code of Ethics has been posted on our internet website and can be found at </w:t>
      </w:r>
      <w:r>
        <w:rPr>
          <w:rFonts w:ascii="Times New Roman" w:hAnsi="Times New Roman"/>
          <w:i/>
          <w:color w:val="000000"/>
          <w:sz w:val="20"/>
        </w:rPr>
        <w:t>www.lineagecell.com</w:t>
      </w:r>
      <w:r>
        <w:rPr>
          <w:rFonts w:ascii="Times New Roman" w:hAnsi="Times New Roman"/>
          <w:color w:val="000000"/>
          <w:sz w:val="20"/>
        </w:rPr>
        <w:t>. If we amend or waive a provision of our Code of Ethics that applies to our chief executive officer or chief financial officer, we will post the amended Code of Ethics or information about the waiver on our internet website.</w:t>
      </w:r>
    </w:p>
    <w:p>
      <w:pPr>
        <w:pStyle w:val="TextBody"/>
        <w:bidi w:val="0"/>
        <w:spacing w:before="360" w:after="283"/>
        <w:jc w:val="both"/>
        <w:rPr>
          <w:rFonts w:ascii="Times New Roman" w:hAnsi="Times New Roman"/>
          <w:b/>
          <w:color w:val="000000"/>
          <w:sz w:val="20"/>
        </w:rPr>
      </w:pPr>
      <w:bookmarkStart w:id="28" w:name="item_11_executive_compensation"/>
      <w:bookmarkEnd w:id="28"/>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2025 Proxy Statement and is incorporated herein by reference.</w:t>
      </w:r>
    </w:p>
    <w:p>
      <w:pPr>
        <w:pStyle w:val="TextBody"/>
        <w:bidi w:val="0"/>
        <w:spacing w:before="360" w:after="283"/>
        <w:jc w:val="both"/>
        <w:rPr>
          <w:rFonts w:ascii="Times New Roman" w:hAnsi="Times New Roman"/>
          <w:b/>
          <w:color w:val="000000"/>
          <w:sz w:val="20"/>
        </w:rPr>
      </w:pPr>
      <w:bookmarkStart w:id="29" w:name="item_12_security_ownership"/>
      <w:bookmarkEnd w:id="29"/>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2025 Proxy Statement and is incorporated herein by reference.</w:t>
      </w:r>
    </w:p>
    <w:p>
      <w:pPr>
        <w:pStyle w:val="TextBody"/>
        <w:bidi w:val="0"/>
        <w:spacing w:before="360" w:after="283"/>
        <w:jc w:val="left"/>
        <w:rPr>
          <w:rFonts w:ascii="Times New Roman" w:hAnsi="Times New Roman"/>
          <w:sz w:val="20"/>
        </w:rPr>
      </w:pPr>
      <w:bookmarkStart w:id="30" w:name="item_13_certain_relationships"/>
      <w:bookmarkEnd w:id="3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2025 Proxy Statement and is incorporated herein by reference.</w:t>
      </w:r>
    </w:p>
    <w:p>
      <w:pPr>
        <w:pStyle w:val="TextBody"/>
        <w:bidi w:val="0"/>
        <w:spacing w:before="360" w:after="283"/>
        <w:jc w:val="both"/>
        <w:rPr>
          <w:rFonts w:ascii="Times New Roman" w:hAnsi="Times New Roman"/>
          <w:b/>
          <w:color w:val="000000"/>
          <w:sz w:val="20"/>
        </w:rPr>
      </w:pPr>
      <w:bookmarkStart w:id="31" w:name="item_14_principal_accountant_fees"/>
      <w:bookmarkEnd w:id="31"/>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2025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part_iv"/>
      <w:bookmarkEnd w:id="32"/>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3" w:name="item_15_exhibits_and_financial"/>
      <w:bookmarkEnd w:id="33"/>
      <w:r>
        <w:rPr>
          <w:rFonts w:ascii="Times New Roman" w:hAnsi="Times New Roman"/>
          <w:b/>
          <w:color w:val="000000"/>
          <w:sz w:val="20"/>
        </w:rPr>
        <w:t>ITEM 15. EXHIBIT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(a)(1)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financial statements of Lineage are filed in this report:</w:t>
      </w:r>
    </w:p>
    <w:p>
      <w:pPr>
        <w:pStyle w:val="TextBody"/>
        <w:bidi w:val="0"/>
        <w:jc w:val="both"/>
        <w:rPr/>
      </w:pPr>
      <w:r>
        <w:rPr/>
        <w:t> </w:t>
      </w:r>
    </w:p>
    <w:tbl>
      <w:tblPr>
        <w:tblW w:w="9332" w:type="dxa"/>
        <w:jc w:val="left"/>
        <w:tblInd w:w="0" w:type="dxa"/>
        <w:tblLayout w:type="fixed"/>
        <w:tblCellMar>
          <w:top w:w="28" w:type="dxa"/>
          <w:left w:w="28" w:type="dxa"/>
          <w:bottom w:w="28" w:type="dxa"/>
          <w:right w:w="28" w:type="dxa"/>
        </w:tblCellMar>
      </w:tblPr>
      <w:tblGrid>
        <w:gridCol w:w="8866"/>
        <w:gridCol w:w="466"/>
      </w:tblGrid>
      <w:tr>
        <w:trPr/>
        <w:tc>
          <w:tcPr>
            <w:tcW w:w="88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8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Independent Registered Public Accounting Firm - Audit Opinion</w:t>
              </w:r>
            </w:hyperlink>
            <w:r>
              <w:rPr>
                <w:rFonts w:ascii="Times New Roman" w:hAnsi="Times New Roman"/>
                <w:color w:val="000000"/>
                <w:sz w:val="20"/>
              </w:rPr>
              <w:t xml:space="preserve"> </w:t>
            </w:r>
            <w:hyperlink w:anchor="report_of_independent_registered_public">
              <w:r>
                <w:rPr>
                  <w:rStyle w:val="InternetLink"/>
                  <w:rFonts w:ascii="Times New Roman" w:hAnsi="Times New Roman"/>
                  <w:color w:val="0000FF"/>
                  <w:sz w:val="20"/>
                  <w:u w:val="single"/>
                </w:rPr>
                <w:t>Moss Adams LLP (PCAOB #659)</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94</w:t>
            </w:r>
          </w:p>
        </w:tc>
      </w:tr>
      <w:tr>
        <w:trPr/>
        <w:tc>
          <w:tcPr>
            <w:tcW w:w="8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cpa_2">
              <w:r>
                <w:rPr>
                  <w:rStyle w:val="InternetLink"/>
                  <w:rFonts w:ascii="Times New Roman" w:hAnsi="Times New Roman"/>
                  <w:color w:val="0000FF"/>
                  <w:sz w:val="20"/>
                  <w:u w:val="single"/>
                </w:rPr>
                <w:t>Independent Registered Public Accounting Firm - Audit Opinion WithumSmith+Brown, PC (PCAOB #100)</w:t>
              </w:r>
            </w:hyperlink>
            <w:hyperlink w:anchor="report_of_independent_registered_cpa_2">
              <w:r>
                <w:rPr>
                  <w:rStyle w:val="InternetLink"/>
                  <w:rFonts w:ascii="Times New Roman" w:hAnsi="Times New Roman"/>
                  <w:color w:val="0000FF"/>
                  <w:sz w:val="20"/>
                </w:rPr>
                <w:t xml:space="preserve"> </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r>
      <w:tr>
        <w:trPr/>
        <w:tc>
          <w:tcPr>
            <w:tcW w:w="8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97</w:t>
            </w:r>
          </w:p>
        </w:tc>
      </w:tr>
      <w:tr>
        <w:trPr/>
        <w:tc>
          <w:tcPr>
            <w:tcW w:w="8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98</w:t>
            </w:r>
          </w:p>
        </w:tc>
      </w:tr>
      <w:tr>
        <w:trPr/>
        <w:tc>
          <w:tcPr>
            <w:tcW w:w="88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comp_loss">
              <w:r>
                <w:rPr>
                  <w:rStyle w:val="InternetLink"/>
                  <w:rFonts w:ascii="Times New Roman" w:hAnsi="Times New Roman"/>
                  <w:color w:val="0000FF"/>
                  <w:sz w:val="20"/>
                  <w:u w:val="single"/>
                </w:rPr>
                <w:t>Consolidated Statements of Comprehensive Loss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99</w:t>
            </w:r>
          </w:p>
        </w:tc>
      </w:tr>
      <w:tr>
        <w:trPr/>
        <w:tc>
          <w:tcPr>
            <w:tcW w:w="8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Shareholders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100</w:t>
            </w:r>
          </w:p>
        </w:tc>
      </w:tr>
      <w:tr>
        <w:trPr/>
        <w:tc>
          <w:tcPr>
            <w:tcW w:w="886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101</w:t>
            </w:r>
          </w:p>
        </w:tc>
      </w:tr>
      <w:tr>
        <w:trPr/>
        <w:tc>
          <w:tcPr>
            <w:tcW w:w="8866" w:type="dxa"/>
            <w:tcBorders/>
            <w:tcMar>
              <w:top w:w="0" w:type="dxa"/>
              <w:left w:w="0" w:type="dxa"/>
              <w:bottom w:w="0" w:type="dxa"/>
              <w:right w:w="0" w:type="dxa"/>
            </w:tcMar>
            <w:vAlign w:val="center"/>
          </w:tcPr>
          <w:p>
            <w:pPr>
              <w:pStyle w:val="TableContents"/>
              <w:bidi w:val="0"/>
              <w:spacing w:before="0" w:after="283"/>
              <w:jc w:val="left"/>
              <w:rPr/>
            </w:pPr>
            <w:hyperlink w:anchor="notes_to_the_consolidated_financial">
              <w:r>
                <w:rPr>
                  <w:rStyle w:val="InternetLink"/>
                  <w:rFonts w:ascii="Times New Roman" w:hAnsi="Times New Roman"/>
                  <w:color w:val="0000FF"/>
                  <w:sz w:val="20"/>
                  <w:u w:val="single"/>
                </w:rPr>
                <w:t>Notes to the Consolidated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aps/>
                <w:color w:val="000000"/>
                <w:sz w:val="20"/>
              </w:rPr>
            </w:pPr>
            <w:r>
              <w:rPr>
                <w:rFonts w:ascii="Times New Roman" w:hAnsi="Times New Roman"/>
                <w:caps/>
                <w:color w:val="000000"/>
                <w:sz w:val="20"/>
              </w:rPr>
              <w:t>102</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(a)(2)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report.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not filed or furnished herewith are incorporated by reference to exhibits previously filed with the SEC, as reflected in the table below. We will furnish a copy of any exhibit to stockholders, without charge upon written request to Lineage Cell Therapeutics, Inc., Attention: Corporate Secretary, 2173 Salk Avenue, Suite 200 Carlsbad, CA 92008, or by calling (442) 287-8990.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618"/>
        <w:gridCol w:w="146"/>
        <w:gridCol w:w="751"/>
        <w:gridCol w:w="146"/>
        <w:gridCol w:w="541"/>
        <w:gridCol w:w="146"/>
        <w:gridCol w:w="1085"/>
        <w:gridCol w:w="146"/>
        <w:gridCol w:w="714"/>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r>
      <w:tr>
        <w:trPr/>
        <w:tc>
          <w:tcPr>
            <w:tcW w:w="76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1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4"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PLANS OF ACQUISITION</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9">
              <w:r>
                <w:rPr>
                  <w:rStyle w:val="InternetLink"/>
                  <w:rFonts w:ascii="Times New Roman" w:hAnsi="Times New Roman"/>
                  <w:color w:val="0000FF"/>
                  <w:sz w:val="18"/>
                  <w:u w:val="single"/>
                </w:rPr>
                <w:t>Agreement and Plan of Merger dated November 7, 2018, among Registrant, Patrick Merger Sub, Inc. and Asterias Biotherapeutics, Inc. (“Asterias”)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8, 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ARTICLES OF INCORPORATION AND BYLAWS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0">
              <w:r>
                <w:rPr>
                  <w:rStyle w:val="InternetLink"/>
                  <w:rFonts w:ascii="Times New Roman" w:hAnsi="Times New Roman"/>
                  <w:color w:val="0000FF"/>
                  <w:sz w:val="18"/>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10, 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1">
              <w:r>
                <w:rPr>
                  <w:rStyle w:val="InternetLink"/>
                  <w:rFonts w:ascii="Times New Roman" w:hAnsi="Times New Roman"/>
                  <w:color w:val="0000FF"/>
                  <w:sz w:val="18"/>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2">
              <w:r>
                <w:rPr>
                  <w:rStyle w:val="InternetLink"/>
                  <w:rFonts w:ascii="Times New Roman" w:hAnsi="Times New Roman"/>
                  <w:color w:val="0000FF"/>
                  <w:sz w:val="18"/>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INSTRUMENTS DEFINING RIGHTS OF SECURITY HOLDERS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color w:val="000000"/>
                <w:sz w:val="18"/>
              </w:rPr>
            </w:pPr>
            <w:r>
              <w:rPr>
                <w:rFonts w:ascii="Times New Roman" w:hAnsi="Times New Roman"/>
                <w:color w:val="000000"/>
                <w:sz w:val="18"/>
              </w:rPr>
              <w:t>Specimen of Common Share Certificate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December 18, 1991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033-44549</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w:anchor="lctx-ex4_02.htm">
              <w:r>
                <w:rPr>
                  <w:rStyle w:val="InternetLink"/>
                  <w:rFonts w:ascii="Times New Roman" w:hAnsi="Times New Roman"/>
                  <w:color w:val="0000FF"/>
                  <w:sz w:val="18"/>
                  <w:u w:val="single"/>
                </w:rPr>
                <w:t>Description of Capital Stock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Form of Common Stock Purchase Warrant issued pursuant to the Securities Purchase Agreement dated November 19, 2024, between Lineage Cell Therapeutics, Inc. and the purchaser parties thereto</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4.03(b)</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Form of Placement Agent Warrant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4.03(c)*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hyperlink w:anchor="lctx-ex4_03c.htm">
              <w:r>
                <w:rPr>
                  <w:rStyle w:val="InternetLink"/>
                  <w:rFonts w:ascii="Times New Roman" w:hAnsi="Times New Roman"/>
                  <w:color w:val="0000FF"/>
                  <w:sz w:val="18"/>
                  <w:u w:val="single"/>
                </w:rPr>
                <w:t>Warrant issued to Broadwood Partners, L.P. on January 27, 2025</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5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085"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14"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MANAGEMENT CONTRACTS AND COMPENSATORY PLANS</w:t>
            </w:r>
          </w:p>
        </w:tc>
      </w:tr>
      <w:tr>
        <w:trPr/>
        <w:tc>
          <w:tcPr>
            <w:tcW w:w="7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8" w:type="dxa"/>
            <w:tcBorders/>
            <w:tcMar>
              <w:top w:w="0" w:type="dxa"/>
              <w:left w:w="0" w:type="dxa"/>
              <w:bottom w:w="0" w:type="dxa"/>
              <w:right w:w="0" w:type="dxa"/>
            </w:tcMar>
            <w:vAlign w:val="center"/>
          </w:tcPr>
          <w:p>
            <w:pPr>
              <w:pStyle w:val="TableContents"/>
              <w:bidi w:val="0"/>
              <w:spacing w:before="60" w:after="283"/>
              <w:jc w:val="both"/>
              <w:rPr/>
            </w:pPr>
            <w:hyperlink r:id="rId15">
              <w:r>
                <w:rPr>
                  <w:rStyle w:val="InternetLink"/>
                  <w:rFonts w:ascii="Times New Roman" w:hAnsi="Times New Roman"/>
                  <w:color w:val="0000FF"/>
                  <w:sz w:val="18"/>
                  <w:u w:val="single"/>
                </w:rPr>
                <w:t>Form of Indemnification Agreement entered into between the Registrant and its Directors and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11,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
        <w:gridCol w:w="146"/>
        <w:gridCol w:w="5962"/>
        <w:gridCol w:w="146"/>
        <w:gridCol w:w="511"/>
        <w:gridCol w:w="146"/>
        <w:gridCol w:w="396"/>
        <w:gridCol w:w="146"/>
        <w:gridCol w:w="1108"/>
        <w:gridCol w:w="146"/>
        <w:gridCol w:w="817"/>
      </w:tblGrid>
      <w:tr>
        <w:trPr/>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16">
              <w:r>
                <w:rPr>
                  <w:rStyle w:val="InternetLink"/>
                  <w:rFonts w:ascii="Times New Roman" w:hAnsi="Times New Roman"/>
                  <w:color w:val="0000FF"/>
                  <w:sz w:val="18"/>
                  <w:u w:val="single"/>
                </w:rPr>
                <w:t>Amended and Restated Employment Agreement dated September 26, 2022 between Registrant and Brian Michael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10.02(a)+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Amendment No. 1 to Employment Agreement entered into as of March 6, 2024 between Registrant and Brian M.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18">
              <w:r>
                <w:rPr>
                  <w:rStyle w:val="InternetLink"/>
                  <w:rFonts w:ascii="Times New Roman" w:hAnsi="Times New Roman"/>
                  <w:color w:val="0000FF"/>
                  <w:sz w:val="18"/>
                  <w:u w:val="single"/>
                </w:rPr>
                <w:t>Amended and Restated Employment Agreement dated September 26, 2022 between Registrant and George A. Samuel III</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10.03(a)+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Amendment No. 1 to Employment Agreement entered into as of March 6, 2024 between Registrant and George A. Samuel III</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0">
              <w:r>
                <w:rPr>
                  <w:rStyle w:val="InternetLink"/>
                  <w:rFonts w:ascii="Times New Roman" w:hAnsi="Times New Roman"/>
                  <w:color w:val="0000FF"/>
                  <w:sz w:val="18"/>
                  <w:u w:val="single"/>
                </w:rPr>
                <w:t>Employment Agreement dated November 14, 2022 between Registrant and Jill A. Howe</w:t>
              </w:r>
            </w:hyperlink>
            <w:hyperlink r:id="rId21">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9, 2023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10.04(a)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Amendment No. 1 to Employment Agreement entered into as of March 6, 2024 between Registrant and Jill A. Howe</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May 9,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2">
              <w:r>
                <w:rPr>
                  <w:rStyle w:val="InternetLink"/>
                  <w:rFonts w:ascii="Times New Roman" w:hAnsi="Times New Roman"/>
                  <w:color w:val="0000FF"/>
                  <w:sz w:val="18"/>
                  <w:u w:val="single"/>
                </w:rPr>
                <w:t>Inducement Stock Option Agreement between Registrant and Brian Culley</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14,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3">
              <w:r>
                <w:rPr>
                  <w:rStyle w:val="InternetLink"/>
                  <w:rFonts w:ascii="Times New Roman" w:hAnsi="Times New Roman"/>
                  <w:color w:val="0000FF"/>
                  <w:sz w:val="18"/>
                  <w:u w:val="single"/>
                </w:rPr>
                <w:t>Lineage Cell Therapeutics 2012 Equity Incentive Plan, as amended July 2015 (“2012 Plan”)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15, 2015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333-205661</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10.06(b)+</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4">
              <w:r>
                <w:rPr>
                  <w:rStyle w:val="InternetLink"/>
                  <w:rFonts w:ascii="Times New Roman" w:hAnsi="Times New Roman"/>
                  <w:color w:val="0000FF"/>
                  <w:sz w:val="18"/>
                  <w:u w:val="single"/>
                </w:rPr>
                <w:t>Amendment to 2012 Plan effective June 2017</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July 7, 2017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333-219204</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5">
              <w:r>
                <w:rPr>
                  <w:rStyle w:val="InternetLink"/>
                  <w:rFonts w:ascii="Times New Roman" w:hAnsi="Times New Roman"/>
                  <w:color w:val="0000FF"/>
                  <w:sz w:val="18"/>
                  <w:u w:val="single"/>
                </w:rPr>
                <w:t>Amendment to 2012 Plan effective July 2019</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8,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333-233132</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10.06(d)+</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6">
              <w:r>
                <w:rPr>
                  <w:rStyle w:val="InternetLink"/>
                  <w:rFonts w:ascii="Times New Roman" w:hAnsi="Times New Roman"/>
                  <w:color w:val="0000FF"/>
                  <w:sz w:val="18"/>
                  <w:u w:val="single"/>
                </w:rPr>
                <w:t>Amendment to 2012 Plan effective August 2019</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10.06(e)+</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7">
              <w:r>
                <w:rPr>
                  <w:rStyle w:val="InternetLink"/>
                  <w:rFonts w:ascii="Times New Roman" w:hAnsi="Times New Roman"/>
                  <w:color w:val="0000FF"/>
                  <w:sz w:val="18"/>
                  <w:u w:val="single"/>
                </w:rPr>
                <w:t>2012 Plan Form of Employee Incentive Stock Option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10.06(f)+</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8">
              <w:r>
                <w:rPr>
                  <w:rStyle w:val="InternetLink"/>
                  <w:rFonts w:ascii="Times New Roman" w:hAnsi="Times New Roman"/>
                  <w:color w:val="0000FF"/>
                  <w:sz w:val="18"/>
                  <w:u w:val="single"/>
                </w:rPr>
                <w:t>2012 Plan Form of Non-employee Director Stock Option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10.06(g)+</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29">
              <w:r>
                <w:rPr>
                  <w:rStyle w:val="InternetLink"/>
                  <w:rFonts w:ascii="Times New Roman" w:hAnsi="Times New Roman"/>
                  <w:color w:val="0000FF"/>
                  <w:sz w:val="18"/>
                  <w:u w:val="single"/>
                </w:rPr>
                <w:t>2012 Plan Stock Option Grant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12, 2019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000-12830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10.06(h)+</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0">
              <w:r>
                <w:rPr>
                  <w:rStyle w:val="InternetLink"/>
                  <w:rFonts w:ascii="Times New Roman" w:hAnsi="Times New Roman"/>
                  <w:color w:val="0000FF"/>
                  <w:sz w:val="18"/>
                  <w:u w:val="single"/>
                </w:rPr>
                <w:t>2012 Plan Form of Restricted Stock Unit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12, 2020</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1">
              <w:r>
                <w:rPr>
                  <w:rStyle w:val="InternetLink"/>
                  <w:rFonts w:ascii="Times New Roman" w:hAnsi="Times New Roman"/>
                  <w:color w:val="0000FF"/>
                  <w:sz w:val="18"/>
                  <w:u w:val="single"/>
                </w:rPr>
                <w:t>Lineage Cell Therapeutics 2021 Equity Incentive Plan, effective as of September 2021 (“2021 Plan”)</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15,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2">
              <w:r>
                <w:rPr>
                  <w:rStyle w:val="InternetLink"/>
                  <w:rFonts w:ascii="Times New Roman" w:hAnsi="Times New Roman"/>
                  <w:color w:val="0000FF"/>
                  <w:sz w:val="18"/>
                  <w:u w:val="single"/>
                </w:rPr>
                <w:t>Amendment to 2021 Plan effective September 6, 2023</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7, 2023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10.07(b)+</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3">
              <w:r>
                <w:rPr>
                  <w:rStyle w:val="InternetLink"/>
                  <w:rFonts w:ascii="Times New Roman" w:hAnsi="Times New Roman"/>
                  <w:color w:val="0000FF"/>
                  <w:sz w:val="18"/>
                  <w:u w:val="single"/>
                </w:rPr>
                <w:t>2021 Plan Form of Stock Option Grant Notice and Agreement for Employees and Consultants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10.07(c)+</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4">
              <w:r>
                <w:rPr>
                  <w:rStyle w:val="InternetLink"/>
                  <w:rFonts w:ascii="Times New Roman" w:hAnsi="Times New Roman"/>
                  <w:color w:val="0000FF"/>
                  <w:sz w:val="18"/>
                  <w:u w:val="single"/>
                </w:rPr>
                <w:t>2021 Plan Form of Stock Option Grant Notice and Agreement for Non-Employee Directors</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10.07(d)+</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5">
              <w:r>
                <w:rPr>
                  <w:rStyle w:val="InternetLink"/>
                  <w:rFonts w:ascii="Times New Roman" w:hAnsi="Times New Roman"/>
                  <w:color w:val="0000FF"/>
                  <w:sz w:val="18"/>
                  <w:u w:val="single"/>
                </w:rPr>
                <w:t>2021 Plan Form of Restricted Stock Unit Award Grant Notice and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99.4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September 28, 2021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333-259853</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6">
              <w:r>
                <w:rPr>
                  <w:rStyle w:val="InternetLink"/>
                  <w:rFonts w:ascii="Times New Roman" w:hAnsi="Times New Roman"/>
                  <w:color w:val="0000FF"/>
                  <w:sz w:val="18"/>
                  <w:u w:val="single"/>
                </w:rPr>
                <w:t>Executive Performance Incentive Bonus Plan, adopted September 2022</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November 10, 2022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789"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COMMERCIAL AGREEMENTS</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7">
              <w:r>
                <w:rPr>
                  <w:rStyle w:val="InternetLink"/>
                  <w:rFonts w:ascii="Times New Roman" w:hAnsi="Times New Roman"/>
                  <w:color w:val="0000FF"/>
                  <w:sz w:val="18"/>
                  <w:u w:val="single"/>
                </w:rPr>
                <w:t>Commercial License and Option Agreement between Registrant and Wisconsin Alumni Research Foundation (“WARF Agreement”)</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January 9, 2008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10.09(a)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8">
              <w:r>
                <w:rPr>
                  <w:rStyle w:val="InternetLink"/>
                  <w:rFonts w:ascii="Times New Roman" w:hAnsi="Times New Roman"/>
                  <w:color w:val="0000FF"/>
                  <w:sz w:val="18"/>
                  <w:u w:val="single"/>
                </w:rPr>
                <w:t>First Amendment to WARF Agreement dated March 11, 2009</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23, 2009</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39">
              <w:r>
                <w:rPr>
                  <w:rStyle w:val="InternetLink"/>
                  <w:rFonts w:ascii="Times New Roman" w:hAnsi="Times New Roman"/>
                  <w:color w:val="0000FF"/>
                  <w:sz w:val="18"/>
                  <w:u w:val="single"/>
                </w:rPr>
                <w:t>Second Amended and Restated License Agreement dated June 15, 2017, between Cell Cure Neurosciences, Ltd. and Hadasit Medical Research Services and Development Ltd. (“Hadasit License”)</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8, 2024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10.10(a)</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962" w:type="dxa"/>
            <w:tcBorders/>
            <w:tcMar>
              <w:top w:w="0" w:type="dxa"/>
              <w:left w:w="0" w:type="dxa"/>
              <w:bottom w:w="0" w:type="dxa"/>
              <w:right w:w="0" w:type="dxa"/>
            </w:tcMar>
            <w:vAlign w:val="center"/>
          </w:tcPr>
          <w:p>
            <w:pPr>
              <w:pStyle w:val="TableContents"/>
              <w:bidi w:val="0"/>
              <w:spacing w:before="60" w:after="283"/>
              <w:jc w:val="both"/>
              <w:rPr/>
            </w:pPr>
            <w:hyperlink r:id="rId40">
              <w:r>
                <w:rPr>
                  <w:rStyle w:val="InternetLink"/>
                  <w:rFonts w:ascii="Times New Roman" w:hAnsi="Times New Roman"/>
                  <w:color w:val="0000FF"/>
                  <w:sz w:val="18"/>
                  <w:u w:val="single"/>
                </w:rPr>
                <w:t>Amendment to Hadasit License dated January 8, 2018</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5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1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15, 2018</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1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60" w:after="283"/>
        <w:jc w:val="left"/>
        <w:rPr/>
      </w:pPr>
      <w:r>
        <w:rPr/>
        <w:t> </w:t>
      </w:r>
    </w:p>
    <w:tbl>
      <w:tblPr>
        <w:tblW w:w="9236" w:type="dxa"/>
        <w:jc w:val="left"/>
        <w:tblInd w:w="0" w:type="dxa"/>
        <w:tblLayout w:type="fixed"/>
        <w:tblCellMar>
          <w:top w:w="28" w:type="dxa"/>
          <w:left w:w="28" w:type="dxa"/>
          <w:bottom w:w="28" w:type="dxa"/>
          <w:right w:w="28" w:type="dxa"/>
        </w:tblCellMar>
      </w:tblPr>
      <w:tblGrid>
        <w:gridCol w:w="736"/>
        <w:gridCol w:w="109"/>
        <w:gridCol w:w="4666"/>
        <w:gridCol w:w="109"/>
        <w:gridCol w:w="631"/>
        <w:gridCol w:w="109"/>
        <w:gridCol w:w="481"/>
        <w:gridCol w:w="109"/>
        <w:gridCol w:w="1246"/>
        <w:gridCol w:w="109"/>
        <w:gridCol w:w="931"/>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60" w:after="283"/>
              <w:jc w:val="both"/>
              <w:rPr/>
            </w:pPr>
            <w:hyperlink r:id="rId41">
              <w:r>
                <w:rPr>
                  <w:rStyle w:val="InternetLink"/>
                  <w:rFonts w:ascii="Times New Roman" w:hAnsi="Times New Roman"/>
                  <w:color w:val="0000FF"/>
                  <w:sz w:val="18"/>
                  <w:u w:val="single"/>
                </w:rPr>
                <w:t>Second Amendment to Hadasit License dated December 1, 2019</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8"/>
        <w:gridCol w:w="146"/>
        <w:gridCol w:w="5623"/>
        <w:gridCol w:w="146"/>
        <w:gridCol w:w="568"/>
        <w:gridCol w:w="146"/>
        <w:gridCol w:w="837"/>
        <w:gridCol w:w="146"/>
        <w:gridCol w:w="1091"/>
        <w:gridCol w:w="146"/>
        <w:gridCol w:w="718"/>
      </w:tblGrid>
      <w:tr>
        <w:trPr/>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63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60" w:after="283"/>
              <w:jc w:val="both"/>
              <w:rPr/>
            </w:pPr>
            <w:hyperlink r:id="rId42">
              <w:r>
                <w:rPr>
                  <w:rStyle w:val="InternetLink"/>
                  <w:rFonts w:ascii="Times New Roman" w:hAnsi="Times New Roman"/>
                  <w:color w:val="0000FF"/>
                  <w:sz w:val="18"/>
                  <w:u w:val="single"/>
                </w:rPr>
                <w:t>Side Letter Agreement dated December 17, 2021 between Hadasit Medical Research Services and Development Ltd., Cell Cure Neurosciences Ltd., Genentech, Inc. and F. Hoffmann-La Roche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10.10(d)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60" w:after="283"/>
              <w:jc w:val="both"/>
              <w:rPr/>
            </w:pPr>
            <w:hyperlink r:id="rId43">
              <w:r>
                <w:rPr>
                  <w:rStyle w:val="InternetLink"/>
                  <w:rFonts w:ascii="Times New Roman" w:hAnsi="Times New Roman"/>
                  <w:color w:val="0000FF"/>
                  <w:sz w:val="18"/>
                  <w:u w:val="single"/>
                </w:rPr>
                <w:t>Second Side Letter Agreement dated December 17, 2021 between Hadasit Medical Research Services and Development Ltd. and Cell Cure Neurosciences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10.4(d)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60" w:after="283"/>
              <w:jc w:val="both"/>
              <w:rPr/>
            </w:pPr>
            <w:hyperlink r:id="rId44">
              <w:r>
                <w:rPr>
                  <w:rStyle w:val="InternetLink"/>
                  <w:rFonts w:ascii="Times New Roman" w:hAnsi="Times New Roman"/>
                  <w:color w:val="0000FF"/>
                  <w:sz w:val="18"/>
                  <w:u w:val="single"/>
                </w:rPr>
                <w:t>Debt and Note Purchase Agreement dated June 16, 2017, as amended June 29, 2017, between Registrant and HBL-Hadasit Bio-Holdings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60" w:after="283"/>
              <w:jc w:val="both"/>
              <w:rPr/>
            </w:pPr>
            <w:hyperlink r:id="rId45">
              <w:r>
                <w:rPr>
                  <w:rStyle w:val="InternetLink"/>
                  <w:rFonts w:ascii="Times New Roman" w:hAnsi="Times New Roman"/>
                  <w:color w:val="0000FF"/>
                  <w:sz w:val="18"/>
                  <w:u w:val="single"/>
                </w:rPr>
                <w:t>Share Purchase and Transfer Agreement dated June 16, 2017, by and among Registrant and HBL-Hadasit Bio-Holdings Ltd. and Cell Cure Neurosciences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August 9, 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Non-exclusive License Agreement dated October 7, 2013 between WARF and Asterias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Asterias 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12, 2013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000-55046</w:t>
            </w:r>
          </w:p>
        </w:tc>
      </w:tr>
      <w:tr>
        <w:trPr/>
        <w:tc>
          <w:tcPr>
            <w:tcW w:w="6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18"/>
                  <w:u w:val="single"/>
                </w:rPr>
                <w:t>Form of Securities Purchase Agreement dated November 19, 2024, between Lineage Cell Therapeutics, Inc. and the purchaser parties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18"/>
                  <w:u w:val="single"/>
                </w:rPr>
                <w:t>Form of Securities Purchase Agreement dated November 19, 2024, between Lineage Cell Therapeutics, Inc. and Broadwood Partners,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18"/>
                  <w:u w:val="single"/>
                </w:rPr>
                <w:t>Collaboration and License Agreement dated December 17, 2021, between F. Hoffmann-La Roche Ltd, Genentech, Inc., Cell Cure Neurosciences Ltd., and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10, 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001-12830</w:t>
            </w:r>
          </w:p>
        </w:tc>
      </w:tr>
      <w:tr>
        <w:trPr/>
        <w:tc>
          <w:tcPr>
            <w:tcW w:w="6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23" w:type="dxa"/>
            <w:tcBorders/>
            <w:tcMar>
              <w:top w:w="0" w:type="dxa"/>
              <w:left w:w="0" w:type="dxa"/>
              <w:bottom w:w="0" w:type="dxa"/>
              <w:right w:w="0" w:type="dxa"/>
            </w:tcMar>
            <w:vAlign w:val="center"/>
          </w:tcPr>
          <w:p>
            <w:pPr>
              <w:pStyle w:val="TableContents"/>
              <w:bidi w:val="0"/>
              <w:spacing w:before="0" w:after="283"/>
              <w:jc w:val="left"/>
              <w:rPr/>
            </w:pPr>
            <w:hyperlink w:anchor="lctx-ex19_01.htm">
              <w:r>
                <w:rPr>
                  <w:rStyle w:val="InternetLink"/>
                  <w:rFonts w:ascii="Times New Roman" w:hAnsi="Times New Roman"/>
                  <w:color w:val="0000FF"/>
                  <w:sz w:val="18"/>
                  <w:u w:val="single"/>
                </w:rPr>
                <w:t>Insider Trading Policy effective June 11,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6311"/>
        <w:gridCol w:w="146"/>
        <w:gridCol w:w="346"/>
        <w:gridCol w:w="146"/>
        <w:gridCol w:w="466"/>
        <w:gridCol w:w="146"/>
        <w:gridCol w:w="891"/>
        <w:gridCol w:w="146"/>
        <w:gridCol w:w="775"/>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cMar>
              <w:top w:w="0" w:type="dxa"/>
              <w:left w:w="0" w:type="dxa"/>
              <w:bottom w:w="0" w:type="dxa"/>
              <w:right w:w="0" w:type="dxa"/>
            </w:tcMar>
            <w:vAlign w:val="center"/>
          </w:tcPr>
          <w:p>
            <w:pPr>
              <w:pStyle w:val="TableContents"/>
              <w:bidi w:val="0"/>
              <w:spacing w:before="60" w:after="283"/>
              <w:jc w:val="left"/>
              <w:rPr>
                <w:rFonts w:ascii="Times New Roman" w:hAnsi="Times New Roman"/>
                <w:i/>
                <w:color w:val="000000"/>
                <w:sz w:val="18"/>
              </w:rPr>
            </w:pPr>
            <w:r>
              <w:rPr>
                <w:rFonts w:ascii="Times New Roman" w:hAnsi="Times New Roman"/>
                <w:i/>
                <w:color w:val="000000"/>
                <w:sz w:val="18"/>
              </w:rPr>
              <w:t>OTHER EXHIBITS</w:t>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21_1.htm">
              <w:r>
                <w:rPr>
                  <w:rStyle w:val="InternetLink"/>
                  <w:rFonts w:ascii="Times New Roman" w:hAnsi="Times New Roman"/>
                  <w:color w:val="0000FF"/>
                  <w:sz w:val="18"/>
                  <w:u w:val="single"/>
                </w:rPr>
                <w:t>List of 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23_1.htm">
              <w:r>
                <w:rPr>
                  <w:rStyle w:val="InternetLink"/>
                  <w:rFonts w:ascii="Times New Roman" w:hAnsi="Times New Roman"/>
                  <w:color w:val="0000FF"/>
                  <w:sz w:val="18"/>
                  <w:u w:val="single"/>
                </w:rPr>
                <w:t>Consent of Moss Adams LLP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23.02*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23_2.htm">
              <w:r>
                <w:rPr>
                  <w:rStyle w:val="InternetLink"/>
                  <w:rFonts w:ascii="Times New Roman" w:hAnsi="Times New Roman"/>
                  <w:color w:val="0000FF"/>
                  <w:sz w:val="18"/>
                  <w:u w:val="single"/>
                </w:rPr>
                <w:t>Consent of WithumSmith+Brown, PC</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4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46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9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775"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31_1.htm">
              <w:r>
                <w:rPr>
                  <w:rStyle w:val="InternetLink"/>
                  <w:rFonts w:ascii="Times New Roman" w:hAnsi="Times New Roman"/>
                  <w:color w:val="0000FF"/>
                  <w:sz w:val="18"/>
                  <w:u w:val="single"/>
                </w:rPr>
                <w:t>Certification of Chief Executive Officer pursuant to Exchange Act Rules 13a-14(a) and 15d-14(a),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31_2.htm">
              <w:r>
                <w:rPr>
                  <w:rStyle w:val="InternetLink"/>
                  <w:rFonts w:ascii="Times New Roman" w:hAnsi="Times New Roman"/>
                  <w:color w:val="0000FF"/>
                  <w:sz w:val="18"/>
                  <w:u w:val="single"/>
                </w:rPr>
                <w:t>Certification of Chief Financial Officer pursuant to Exchange Act Rules 13a-14(a) and 15d-14(a),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32.01#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60" w:after="283"/>
              <w:jc w:val="both"/>
              <w:rPr/>
            </w:pPr>
            <w:hyperlink w:anchor="lctx-ex32_1.htm">
              <w:r>
                <w:rPr>
                  <w:rStyle w:val="InternetLink"/>
                  <w:rFonts w:ascii="Times New Roman" w:hAnsi="Times New Roman"/>
                  <w:color w:val="0000FF"/>
                  <w:sz w:val="18"/>
                  <w:u w:val="single"/>
                </w:rPr>
                <w:t>Certifications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0" w:after="283"/>
              <w:jc w:val="both"/>
              <w:rPr/>
            </w:pPr>
            <w:hyperlink r:id="rId49">
              <w:r>
                <w:rPr>
                  <w:rStyle w:val="InternetLink"/>
                  <w:rFonts w:ascii="Times New Roman" w:hAnsi="Times New Roman"/>
                  <w:color w:val="0000FF"/>
                  <w:sz w:val="18"/>
                  <w:u w:val="single"/>
                </w:rPr>
                <w:t>Lineage Cell Therapeutics, Inc. Clawback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March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001-12830</w:t>
            </w:r>
          </w:p>
        </w:tc>
      </w:tr>
      <w:tr>
        <w:trPr/>
        <w:tc>
          <w:tcPr>
            <w:tcW w:w="6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schedules and exhibits to the merger agreement have been omitted pursuant to Item 601(b)(2) of Regulation S-K. A copy of any omitted schedule and/or exhibit will be furnished to the Securities and Exchange Commission upon request.</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both"/>
        <w:rPr>
          <w:rFonts w:ascii="Times New Roman" w:hAnsi="Times New Roman"/>
          <w:color w:val="000000"/>
          <w:sz w:val="20"/>
        </w:rPr>
      </w:pPr>
      <w:r>
        <w:rPr>
          <w:rFonts w:ascii="Times New Roman" w:hAnsi="Times New Roman"/>
          <w:color w:val="000000"/>
          <w:sz w:val="20"/>
        </w:rPr>
        <w:t> Portions of this exhibit have been omitted pursuant to a request for confidential treatment.</w:t>
      </w:r>
    </w:p>
    <w:p>
      <w:pPr>
        <w:pStyle w:val="TextBody"/>
        <w:bidi w:val="0"/>
        <w:jc w:val="left"/>
        <w:rPr>
          <w:rFonts w:ascii="Times New Roman" w:hAnsi="Times New Roman"/>
          <w:color w:val="000000"/>
          <w:sz w:val="20"/>
        </w:rPr>
      </w:pPr>
      <w:r>
        <w:rPr>
          <w:rFonts w:ascii="Times New Roman" w:hAnsi="Times New Roman"/>
          <w:color w:val="000000"/>
          <w:sz w:val="20"/>
        </w:rPr>
        <w:t> Certain information in this exhibit has been omitted pursuant to Item 601 of Regulation S-K.</w:t>
      </w:r>
    </w:p>
    <w:p>
      <w:pPr>
        <w:pStyle w:val="TextBody"/>
        <w:bidi w:val="0"/>
        <w:jc w:val="left"/>
        <w:rPr>
          <w:rFonts w:ascii="Times New Roman" w:hAnsi="Times New Roman"/>
          <w:color w:val="000000"/>
          <w:sz w:val="20"/>
        </w:rPr>
      </w:pPr>
      <w:r>
        <w:rPr>
          <w:rFonts w:ascii="Times New Roman" w:hAnsi="Times New Roman"/>
          <w:color w:val="000000"/>
          <w:sz w:val="20"/>
        </w:rPr>
        <w:t xml:space="preserve">** This exhibit previously was filed as Exhibit 10.2 to the Company’s quarterly report on Form 10-Q for the quarter ended June 30, 2017 with certain information omitted pursuant to an order issued by the SEC on September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2017 granting confidential treatment under the Securities Exchange Act of 1934 for such omitted information through August 9, 2024. In accordance with CF Disclosure Guidance: Topic No. 7, the Company is electing to transition to compliance with the requirements set out in Regulation S-K Item 601(b)(10), and, accordingly is refiling this exhibit with portions of it redacted in compliance with Regulation S-K Item 601(b)(10) as indicated therein.</w:t>
      </w:r>
    </w:p>
    <w:p>
      <w:pPr>
        <w:pStyle w:val="TextBody"/>
        <w:bidi w:val="0"/>
        <w:spacing w:before="360" w:after="283"/>
        <w:jc w:val="left"/>
        <w:rPr>
          <w:rFonts w:ascii="Times New Roman" w:hAnsi="Times New Roman"/>
          <w:b/>
          <w:color w:val="000000"/>
          <w:sz w:val="20"/>
        </w:rPr>
      </w:pPr>
      <w:bookmarkStart w:id="34" w:name="item_16_form_10_k_summary"/>
      <w:bookmarkEnd w:id="3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signatures"/>
      <w:bookmarkEnd w:id="3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487" w:type="dxa"/>
        <w:jc w:val="left"/>
        <w:tblInd w:w="0" w:type="dxa"/>
        <w:tblLayout w:type="fixed"/>
        <w:tblCellMar>
          <w:top w:w="28" w:type="dxa"/>
          <w:left w:w="28" w:type="dxa"/>
          <w:bottom w:w="28" w:type="dxa"/>
          <w:right w:w="28" w:type="dxa"/>
        </w:tblCellMar>
      </w:tblPr>
      <w:tblGrid>
        <w:gridCol w:w="1891"/>
        <w:gridCol w:w="146"/>
        <w:gridCol w:w="565"/>
        <w:gridCol w:w="2885"/>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7496" w:type="dxa"/>
        <w:jc w:val="left"/>
        <w:tblInd w:w="0" w:type="dxa"/>
        <w:tblLayout w:type="fixed"/>
        <w:tblCellMar>
          <w:top w:w="28" w:type="dxa"/>
          <w:left w:w="28" w:type="dxa"/>
          <w:bottom w:w="28" w:type="dxa"/>
          <w:right w:w="28" w:type="dxa"/>
        </w:tblCellMar>
      </w:tblPr>
      <w:tblGrid>
        <w:gridCol w:w="2116"/>
        <w:gridCol w:w="109"/>
        <w:gridCol w:w="3721"/>
        <w:gridCol w:w="109"/>
        <w:gridCol w:w="144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ANN HOWE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Deborah Andrews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DEBORAH ANDREWS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Dipti Amin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DIPTI AMIN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Don M. Bailey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 M. BAILEY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Neal C. Bradsher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NEAL C. BRADSHER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Anula Jayasuriya</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ANULA JAYASURIYA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Michael H. Mulroy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 MULROY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Angus C. Russell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2025</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ANGUS C. RUSSELL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6" w:name="lctx-ex4_02.htm"/>
      <w:bookmarkStart w:id="37" w:name="kslctxex4_02"/>
      <w:bookmarkEnd w:id="36"/>
      <w:bookmarkEnd w:id="37"/>
      <w:r>
        <w:rPr>
          <w:rFonts w:ascii="Times New Roman" w:hAnsi="Times New Roman"/>
          <w:color w:val="000000"/>
          <w:sz w:val="20"/>
        </w:rPr>
        <w:t>Exhibit 4.02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DESCRIPTION OF SECURITIES REGISTERED UNDER SECTION 12 OF THE SECURITIES EXCHANGE ACT OF 1934</w:t>
      </w:r>
    </w:p>
    <w:p>
      <w:pPr>
        <w:pStyle w:val="TextBody"/>
        <w:bidi w:val="0"/>
        <w:spacing w:before="0" w:after="240"/>
        <w:jc w:val="left"/>
        <w:rPr>
          <w:rFonts w:ascii="Times New Roman" w:hAnsi="Times New Roman"/>
          <w:sz w:val="20"/>
        </w:rPr>
      </w:pPr>
      <w:r>
        <w:rPr>
          <w:rFonts w:ascii="Times New Roman" w:hAnsi="Times New Roman"/>
          <w:color w:val="000000"/>
          <w:sz w:val="20"/>
        </w:rPr>
        <w:t>Lineage Cell Therapeutics, Inc. (the “</w:t>
      </w:r>
      <w:r>
        <w:rPr>
          <w:rFonts w:ascii="Times New Roman" w:hAnsi="Times New Roman"/>
          <w:b/>
          <w:i/>
          <w:color w:val="000000"/>
          <w:sz w:val="20"/>
        </w:rPr>
        <w:t>Company</w:t>
      </w:r>
      <w:r>
        <w:rPr>
          <w:rFonts w:ascii="Times New Roman" w:hAnsi="Times New Roman"/>
          <w:color w:val="000000"/>
          <w:sz w:val="20"/>
        </w:rPr>
        <w:t>”) has one class of securities registered under Section 12 of the Securities Exchange Act of 1934: common shares (the “common shares”).</w:t>
      </w:r>
    </w:p>
    <w:p>
      <w:pPr>
        <w:pStyle w:val="TextBody"/>
        <w:bidi w:val="0"/>
        <w:spacing w:before="0" w:after="240"/>
        <w:jc w:val="left"/>
        <w:rPr>
          <w:rFonts w:ascii="Times New Roman" w:hAnsi="Times New Roman"/>
          <w:sz w:val="20"/>
        </w:rPr>
      </w:pPr>
      <w:r>
        <w:rPr>
          <w:rFonts w:ascii="Times New Roman" w:hAnsi="Times New Roman"/>
          <w:color w:val="000000"/>
          <w:sz w:val="20"/>
        </w:rPr>
        <w:t>The following is a description of the rights of the common shares and related provisions of: (i) the Company’s Restated Articles of Incorporation, as amended through September 6, 2023 (as amended by the Certificate of Ownership, the “</w:t>
      </w:r>
      <w:r>
        <w:rPr>
          <w:rFonts w:ascii="Times New Roman" w:hAnsi="Times New Roman"/>
          <w:b/>
          <w:i/>
          <w:color w:val="000000"/>
          <w:sz w:val="20"/>
        </w:rPr>
        <w:t>Articles</w:t>
      </w:r>
      <w:r>
        <w:rPr>
          <w:rFonts w:ascii="Times New Roman" w:hAnsi="Times New Roman"/>
          <w:color w:val="000000"/>
          <w:sz w:val="20"/>
        </w:rPr>
        <w:t>”); (ii) the Company’s Second Amended and Restated Bylaws adopted June 11, 2024 (the “</w:t>
      </w:r>
      <w:r>
        <w:rPr>
          <w:rFonts w:ascii="Times New Roman" w:hAnsi="Times New Roman"/>
          <w:b/>
          <w:i/>
          <w:color w:val="000000"/>
          <w:sz w:val="20"/>
        </w:rPr>
        <w:t>Bylaws</w:t>
      </w:r>
      <w:r>
        <w:rPr>
          <w:rFonts w:ascii="Times New Roman" w:hAnsi="Times New Roman"/>
          <w:color w:val="000000"/>
          <w:sz w:val="20"/>
        </w:rPr>
        <w:t>”); and (iii) applicable California law. This description is qualified in its entirety by, and should be read in conjunction with, the Articles, the Bylaws and applicable California law. The Articles and Bylaws are filed as exhibits to the the Company’s Annual Report on Form 10-K (the “Annual Report”) to which this document is also filed as an exhibit. The Annual Report is filed with the U.S. Securities and Exchange Commission and is publicly available.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Articles, the Company is authorized to issue an aggregate of 452,000,000 shares of capital stock consisting of 450,000,000 common shares and 2,000,000 preferred shares. All of the outstanding common shares are fully paid and non-assessable.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Shares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holder of common shares is entitled to one vote for each common share held on every matter properly submitted to the shareholders for their vote; provided that such holders may have cumulative voting rights in the election of directors if the candidates’ names have been placed in nomination prior to commencement of the voting and a shareholder has given notice prior to commencement of the voting of the shareholder’s intention to cumulate votes.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0" w:after="240"/>
        <w:jc w:val="left"/>
        <w:rPr>
          <w:rFonts w:ascii="Times New Roman" w:hAnsi="Times New Roman"/>
          <w:sz w:val="20"/>
        </w:rPr>
      </w:pPr>
      <w:r>
        <w:rPr>
          <w:rFonts w:ascii="Times New Roman" w:hAnsi="Times New Roman"/>
          <w:color w:val="000000"/>
          <w:sz w:val="20"/>
        </w:rPr>
        <w:t>Subject to any preferential rights or preferences of preferred shares outstanding, if any, holders of the common shares are entitled to any dividend declared by the Company’s Board of Directors (the “</w:t>
      </w:r>
      <w:r>
        <w:rPr>
          <w:rFonts w:ascii="Times New Roman" w:hAnsi="Times New Roman"/>
          <w:b/>
          <w:i/>
          <w:color w:val="000000"/>
          <w:sz w:val="20"/>
        </w:rPr>
        <w:t>Board</w:t>
      </w:r>
      <w:r>
        <w:rPr>
          <w:rFonts w:ascii="Times New Roman" w:hAnsi="Times New Roman"/>
          <w:color w:val="000000"/>
          <w:sz w:val="20"/>
        </w:rPr>
        <w:t>”) out of funds legally available for that purpose.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any preferential rights or preferences of holders of preferred shares outstanding, if any, holders of the common shares are entitled to receive on a pro rata basis all of the Company’s remaining assets available for distribution to the holders of the common shares in the event of the liquidation, dissolution, or winding up of the Company’s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the common shares do not have any preemptive rights to become subscribers or purchasers of additional shares of any class of the Company’s capital stock. There are no redemption or sinking fund provisions applicable to the common shares.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Rights of Preferred Shares May be Senior to Common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may issue preferred shares in one or more series, at any time, with such rights, preferences, privileges and restrictions as the Board may determine, all without further action of the Company’s shareholders. Any series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preferred shares authorized by the Board in the future may be senior to and have greater rights and preferences than the common shares and may have restrictions on the Company’s repurchase or redemption of shares.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Provisions of the Articles, Bylaws and California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Provisions of the Articles and Bylaws may delay or discourage transactions involving an actual or potential change in control of the Company or change in its management, including transactions in which shareholders might otherwise receive a premium for their shares, or transactions that its shareholders might otherwise deem to be in their best interests. Among other things, the Articles and Bylaws:</w:t>
      </w:r>
    </w:p>
    <w:p>
      <w:pPr>
        <w:pStyle w:val="TextBody"/>
        <w:bidi w:val="0"/>
        <w:spacing w:before="0" w:after="240"/>
        <w:jc w:val="left"/>
        <w:rPr>
          <w:color w:val="000000"/>
        </w:rPr>
      </w:pPr>
      <w:r>
        <w:rPr>
          <w:color w:val="000000"/>
        </w:rPr>
        <w:t xml:space="preserve">● </w:t>
      </w:r>
      <w:r>
        <w:rPr>
          <w:rFonts w:ascii="Times New Roman" w:hAnsi="Times New Roman"/>
          <w:color w:val="000000"/>
          <w:sz w:val="20"/>
        </w:rPr>
        <w:t>provide that, except for a vacancy caused by the removal of a director by the shareholders or by court order, a vacancy on the Board may be filled by approval of a majority of the remaining directors, though less than a quorum, or by a sole remaining director;</w:t>
      </w:r>
    </w:p>
    <w:p>
      <w:pPr>
        <w:pStyle w:val="TextBody"/>
        <w:bidi w:val="0"/>
        <w:spacing w:before="0" w:after="240"/>
        <w:jc w:val="left"/>
        <w:rPr>
          <w:color w:val="000000"/>
        </w:rPr>
      </w:pPr>
      <w:r>
        <w:rPr>
          <w:color w:val="000000"/>
        </w:rPr>
        <w:t xml:space="preserve">● </w:t>
      </w:r>
      <w:r>
        <w:rPr>
          <w:rFonts w:ascii="Times New Roman" w:hAnsi="Times New Roman"/>
          <w:color w:val="000000"/>
          <w:sz w:val="20"/>
        </w:rPr>
        <w:t>provide that special meetings of shareholders may be called by (i) the chairperson of the Board, (ii) the Company’s chief executive officer or president, (iii) the Board or (iv) one or more shareholders entitled to cast not less than 10% of the votes on the record date established pursuant to the Bylaws for that meeting;</w:t>
      </w:r>
    </w:p>
    <w:p>
      <w:pPr>
        <w:pStyle w:val="TextBody"/>
        <w:bidi w:val="0"/>
        <w:spacing w:before="0" w:after="240"/>
        <w:jc w:val="left"/>
        <w:rPr>
          <w:color w:val="000000"/>
        </w:rPr>
      </w:pPr>
      <w:r>
        <w:rPr>
          <w:color w:val="000000"/>
        </w:rPr>
        <w:t xml:space="preserve">● </w:t>
      </w:r>
      <w:r>
        <w:rPr>
          <w:rFonts w:ascii="Times New Roman" w:hAnsi="Times New Roman"/>
          <w:color w:val="000000"/>
          <w:sz w:val="20"/>
        </w:rPr>
        <w:t>provide that shareholders seeking to present proposals before a meeting of shareholders or to nominate candidates for election as directors at a meeting of shareholders must meet certain eligibility criteria, provide notice in writing in a timely manner that meets specific requirements as to the form and content of such notice, and comply with applicable requirements of state law and of the Securities Exchange Act of 1934 and the rules and regulations thereunder;</w:t>
      </w:r>
    </w:p>
    <w:p>
      <w:pPr>
        <w:pStyle w:val="TextBody"/>
        <w:bidi w:val="0"/>
        <w:spacing w:before="0" w:after="240"/>
        <w:jc w:val="left"/>
        <w:rPr>
          <w:color w:val="000000"/>
        </w:rPr>
      </w:pPr>
      <w:r>
        <w:rPr>
          <w:color w:val="000000"/>
        </w:rPr>
        <w:t xml:space="preserve">● </w:t>
      </w:r>
      <w:r>
        <w:rPr>
          <w:rFonts w:ascii="Times New Roman" w:hAnsi="Times New Roman"/>
          <w:color w:val="000000"/>
          <w:sz w:val="20"/>
        </w:rPr>
        <w:t>authorize the Board to issue preferred shares in series and to fix rights and preferences of the series (including, among other things, whether, and to what extent, the shares of any series will have voting rights and the extent of the preferences of the shares of any series with respect to dividends and other matters); and</w:t>
      </w:r>
    </w:p>
    <w:p>
      <w:pPr>
        <w:pStyle w:val="TextBody"/>
        <w:bidi w:val="0"/>
        <w:spacing w:before="0" w:after="240"/>
        <w:jc w:val="left"/>
        <w:rPr>
          <w:color w:val="000000"/>
        </w:rPr>
      </w:pPr>
      <w:r>
        <w:rPr>
          <w:color w:val="000000"/>
        </w:rPr>
        <w:t xml:space="preserve">● </w:t>
      </w:r>
      <w:r>
        <w:rPr>
          <w:rFonts w:ascii="Times New Roman" w:hAnsi="Times New Roman"/>
          <w:color w:val="000000"/>
          <w:sz w:val="20"/>
        </w:rPr>
        <w:t>provide that, at a meeting of shareholders at which directors are to be elected, no shareholder shall be entitled to cumulate votes unless the candidates’ names have been placed in nomination prior to commencement of the voting and a shareholder has given notice prior to commencement of the voting of the shareholder’s intention to cumulate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as a California corporation, the Company is subject to the provisions of Section 1203 of the California General Corporation Law, which requires it to provide a fairness opinion to its shareholders in connection with their consideration of any proposed “interested party” reorganization transaction.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common shares are listed on the NYSE American and on the Tel Aviv Stock Exchange under the symbol “LCTX.”</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 agent and registrar for the common shares is Equiniti Trust Company, LLC.</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8" w:name="lctx-ex4_03c.htm"/>
      <w:bookmarkStart w:id="39" w:name="kslctxex4_03c"/>
      <w:bookmarkEnd w:id="38"/>
      <w:bookmarkEnd w:id="39"/>
      <w:r>
        <w:rPr>
          <w:rFonts w:ascii="Times New Roman" w:hAnsi="Times New Roman"/>
          <w:color w:val="000000"/>
          <w:sz w:val="24"/>
        </w:rPr>
        <w:t>Exhibit 4.03(c)</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COMMON SHARE PURCHASE WARRANT</w:t>
      </w:r>
    </w:p>
    <w:p>
      <w:pPr>
        <w:pStyle w:val="TextBody"/>
        <w:bidi w:val="0"/>
        <w:jc w:val="both"/>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Lineage Cell Therapeutics, Inc.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Warrant Shares: 7,894,737 Issue Date: January 27, 2025</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COMMON SHARE PURCHASE WARRANT (the “</w:t>
      </w:r>
      <w:r>
        <w:rPr>
          <w:rFonts w:ascii="Times New Roman" w:hAnsi="Times New Roman"/>
          <w:color w:val="000000"/>
          <w:sz w:val="24"/>
          <w:u w:val="single"/>
        </w:rPr>
        <w:t>Warrant</w:t>
      </w:r>
      <w:r>
        <w:rPr>
          <w:rFonts w:ascii="Times New Roman" w:hAnsi="Times New Roman"/>
          <w:color w:val="000000"/>
          <w:sz w:val="20"/>
        </w:rPr>
        <w:t>”</w:t>
      </w:r>
      <w:r>
        <w:rPr>
          <w:rFonts w:ascii="Times New Roman" w:hAnsi="Times New Roman"/>
          <w:color w:val="000000"/>
          <w:sz w:val="24"/>
        </w:rPr>
        <w:t>) certifies that, for value received, Broadwood Partners L.P. or its assigns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is entitled, upon the terms and conditions hereinafter set forth, at any time on or after May 21, 2025 (the “</w:t>
      </w:r>
      <w:r>
        <w:rPr>
          <w:rFonts w:ascii="Times New Roman" w:hAnsi="Times New Roman"/>
          <w:color w:val="000000"/>
          <w:sz w:val="24"/>
          <w:u w:val="single"/>
        </w:rPr>
        <w:t>Initial Exercise Date</w:t>
      </w:r>
      <w:r>
        <w:rPr>
          <w:rFonts w:ascii="Times New Roman" w:hAnsi="Times New Roman"/>
          <w:color w:val="000000"/>
          <w:sz w:val="20"/>
        </w:rPr>
        <w:t>”</w:t>
      </w:r>
      <w:r>
        <w:rPr>
          <w:rFonts w:ascii="Times New Roman" w:hAnsi="Times New Roman"/>
          <w:color w:val="000000"/>
          <w:sz w:val="24"/>
        </w:rPr>
        <w:t>) and on or prior to 5:00 p.m. (New York City time) on the earlier of (i) the three (3) year anniversary of the Initial Exercise Date, and (ii) the 90th day following the date of the public disclosure of the occurrence of the Milestone Event, subject to the satisfaction of the Equity Conditions (as defined below) or if the date of the public disclosure of the occurrence of the Milestone Event occurs prior to the Initial Exercise Date, the 90th day following the Initial Exercise Date, subject to the satisfaction of the Equity Conditions (the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but not thereafter, to subscribe for and purchase from Lineage Cell Therapeutics, Inc., a California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up to 7,894,737 Common Shares (as subject to adjustment hereunder, the “</w:t>
      </w:r>
      <w:r>
        <w:rPr>
          <w:rFonts w:ascii="Times New Roman" w:hAnsi="Times New Roman"/>
          <w:color w:val="000000"/>
          <w:sz w:val="24"/>
          <w:u w:val="single"/>
        </w:rPr>
        <w:t>Warrant Shares</w:t>
      </w:r>
      <w:r>
        <w:rPr>
          <w:rFonts w:ascii="Times New Roman" w:hAnsi="Times New Roman"/>
          <w:color w:val="000000"/>
          <w:sz w:val="20"/>
        </w:rPr>
        <w:t>”</w:t>
      </w:r>
      <w:r>
        <w:rPr>
          <w:rFonts w:ascii="Times New Roman" w:hAnsi="Times New Roman"/>
          <w:color w:val="000000"/>
          <w:sz w:val="24"/>
        </w:rPr>
        <w:t>). The purchase price of one Common Share under this Warrant shall be equal to the Exercise Price, as defined in Section 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Warrant, “</w:t>
      </w:r>
      <w:r>
        <w:rPr>
          <w:rFonts w:ascii="Times New Roman" w:hAnsi="Times New Roman"/>
          <w:color w:val="000000"/>
          <w:sz w:val="24"/>
          <w:u w:val="single"/>
        </w:rPr>
        <w:t>Equity Conditions</w:t>
      </w:r>
      <w:r>
        <w:rPr>
          <w:rFonts w:ascii="Times New Roman" w:hAnsi="Times New Roman"/>
          <w:color w:val="000000"/>
          <w:sz w:val="20"/>
        </w:rPr>
        <w:t xml:space="preserve">” </w:t>
      </w:r>
      <w:r>
        <w:rPr>
          <w:rFonts w:ascii="Times New Roman" w:hAnsi="Times New Roman"/>
          <w:color w:val="000000"/>
          <w:sz w:val="24"/>
        </w:rPr>
        <w:t>means, with respect to a given date of determination: (i) on such applicable date of determination one or more registration statements (each, the “</w:t>
      </w:r>
      <w:r>
        <w:rPr>
          <w:rFonts w:ascii="Times New Roman" w:hAnsi="Times New Roman"/>
          <w:color w:val="000000"/>
          <w:sz w:val="24"/>
          <w:u w:val="single"/>
        </w:rPr>
        <w:t>Acceleration Registration Statement</w:t>
      </w:r>
      <w:r>
        <w:rPr>
          <w:rFonts w:ascii="Times New Roman" w:hAnsi="Times New Roman"/>
          <w:color w:val="000000"/>
          <w:sz w:val="20"/>
        </w:rPr>
        <w:t>”</w:t>
      </w:r>
      <w:r>
        <w:rPr>
          <w:rFonts w:ascii="Times New Roman" w:hAnsi="Times New Roman"/>
          <w:color w:val="000000"/>
          <w:sz w:val="24"/>
        </w:rPr>
        <w:t>) shall be effective and the prospectus contained therein shall be available on such applicable date of determination (with, for the avoidance of doubt, any Warrant Shares previously issued pursuant to such prospectus deemed unavailable) for the issuance of all the Warrant Shares issuable upon exercise of this Warrant in connection with the event requiring such determination (such applicable aggregate number of Common Shares, each, a “</w:t>
      </w:r>
      <w:r>
        <w:rPr>
          <w:rFonts w:ascii="Times New Roman" w:hAnsi="Times New Roman"/>
          <w:color w:val="000000"/>
          <w:sz w:val="24"/>
          <w:u w:val="single"/>
        </w:rPr>
        <w:t>Required Minimum Securities Amount</w:t>
      </w:r>
      <w:r>
        <w:rPr>
          <w:rFonts w:ascii="Times New Roman" w:hAnsi="Times New Roman"/>
          <w:color w:val="000000"/>
          <w:sz w:val="20"/>
        </w:rPr>
        <w:t>”</w:t>
      </w:r>
      <w:r>
        <w:rPr>
          <w:rFonts w:ascii="Times New Roman" w:hAnsi="Times New Roman"/>
          <w:color w:val="000000"/>
          <w:sz w:val="24"/>
        </w:rPr>
        <w:t>); (ii) on each day during the period of (x) the ninety (90) calendar following the public disclosure of the occurrence of the Milestone Event, subject to the conditions herein or (y) if the date of the public disclosure of the occurrence of the Milestone Event occurs prior to the Initial Exercise Date, the 90th day following the Initial Exercise Date, subject to the conditions herein (collectively, the “</w:t>
      </w:r>
      <w:r>
        <w:rPr>
          <w:rFonts w:ascii="Times New Roman" w:hAnsi="Times New Roman"/>
          <w:color w:val="000000"/>
          <w:sz w:val="24"/>
          <w:u w:val="single"/>
        </w:rPr>
        <w:t>Equity Conditions Measuring Period</w:t>
      </w:r>
      <w:r>
        <w:rPr>
          <w:rFonts w:ascii="Times New Roman" w:hAnsi="Times New Roman"/>
          <w:color w:val="000000"/>
          <w:sz w:val="20"/>
        </w:rPr>
        <w:t>”</w:t>
      </w:r>
      <w:r>
        <w:rPr>
          <w:rFonts w:ascii="Times New Roman" w:hAnsi="Times New Roman"/>
          <w:color w:val="000000"/>
          <w:sz w:val="24"/>
        </w:rPr>
        <w:t>), the Common Shares are listed or designated for quotation (as applicable) on a Trading Market and shall not have been suspended from trading on a Trading Market (other than suspensions of not more than two (2) days and occurring prior to the applicable date of determination due to business announcements by the Company) nor shall delisting or suspension by a Trading Market have been threatened (with a reasonable prospect of delisting occurring after giving effect to all applicable notice, appeal, compliance and hearing periods) or reasonably likely to occur or pending as evidenced by (A) a writing by such Trading Market or (B) the Company falling below the minimum listing maintenance requirements of such Trading Market on which the Common Shares are then listed or designated for quotation (as applicable); (iii) during the Equity Conditions Measuring Period, the Company shall have delivered all Warrant Shares issuable upon exercise of this Warrant on a timely basis in accordance herewith and all other share capital required to be delivered by the Company on a timely basis as set forth in the other Transaction Documents; (iv) any Warrant Shares to be issued in connection with the event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requiring determination may be issued in full without violating the rules or regulations of the Trading Market on which the Common Shares are then listed or designated for quotation (as applicable); (v) on each day during the Equity Conditions Measuring Period, no public announcement of a pending, proposed or intended Fundamental Transaction shall have occurred which has not been abandoned, terminated or consummated; (vi) the Company shall have no knowledge of any fact that would reasonably be expected to cause the applicable Acceleration Registration Statement to not be effective or the prospectus contained therein to not be available for the issuance of all the Warrant Shares issuable upon exercise of this Warrant in connection with the event requiring such determination and no Public Information Failure (as defined below) exists or is continuing; (vii) the Holder shall not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(ix) on the applicable date of determination all Warrant Shares to be issued in connection with the event requiring this determination may be issued in full without resulting in a breach of any provision of the Common Warrants; (x) the Warrant Shares to be issued in connection with the event requiring this determination are duly authorized and listed and eligible for trading without restriction on a Trading Market.</w:t>
      </w:r>
    </w:p>
    <w:p>
      <w:pPr>
        <w:pStyle w:val="TextBody"/>
        <w:bidi w:val="0"/>
        <w:spacing w:before="0" w:after="240"/>
        <w:jc w:val="both"/>
        <w:rPr/>
      </w:pPr>
      <w:r>
        <w:rPr>
          <w:color w:val="000000"/>
        </w:rPr>
        <w:t>“</w:t>
      </w:r>
      <w:r>
        <w:rPr>
          <w:rFonts w:ascii="Times New Roman" w:hAnsi="Times New Roman"/>
          <w:color w:val="000000"/>
          <w:sz w:val="24"/>
          <w:u w:val="single"/>
        </w:rPr>
        <w:t>Public Information Failure</w:t>
      </w:r>
      <w:r>
        <w:rPr>
          <w:rFonts w:ascii="Times New Roman" w:hAnsi="Times New Roman"/>
          <w:color w:val="000000"/>
          <w:sz w:val="20"/>
        </w:rPr>
        <w:t xml:space="preserve">” </w:t>
      </w:r>
      <w:r>
        <w:rPr>
          <w:rFonts w:ascii="Times New Roman" w:hAnsi="Times New Roman"/>
          <w:color w:val="000000"/>
          <w:sz w:val="24"/>
        </w:rPr>
        <w:t>means at any time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and not otherwise defined herein shall have the meanings set forth in that certain Securities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dated November 19, 2024, among the Company and the purchasers signatory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 xml:space="preserve">. </w:t>
      </w:r>
      <w:r>
        <w:rPr>
          <w:rFonts w:ascii="Times New Roman" w:hAnsi="Times New Roman"/>
          <w:color w:val="000000"/>
          <w:sz w:val="24"/>
          <w:u w:val="single"/>
        </w:rPr>
        <w:t>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Exercise of Warrant</w:t>
      </w:r>
      <w:r>
        <w:rPr>
          <w:rFonts w:ascii="Times New Roman" w:hAnsi="Times New Roman"/>
          <w:color w:val="000000"/>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4"/>
          <w:u w:val="single"/>
        </w:rPr>
        <w:t>Notice of Exercise</w:t>
      </w:r>
      <w:r>
        <w:rPr>
          <w:color w:val="000000"/>
        </w:rPr>
        <w:t>”</w:t>
      </w:r>
      <w:r>
        <w:rPr>
          <w:rFonts w:ascii="Times New Roman" w:hAnsi="Times New Roman"/>
          <w:color w:val="000000"/>
          <w:sz w:val="24"/>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the applicable Notice of Exercise.</w:t>
      </w:r>
      <w:r>
        <w:rPr>
          <w:color w:val="000000"/>
        </w:rPr>
        <w:t xml:space="preserve"> </w:t>
      </w:r>
      <w:r>
        <w:rPr>
          <w:rFonts w:ascii="Times New Roman" w:hAnsi="Times New Roman"/>
          <w:color w:val="000000"/>
          <w:sz w:val="24"/>
        </w:rPr>
        <w:t xml:space="preserve">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and in any event within three (3) Trading Days of such date.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hAnsi="Times New Roman"/>
          <w:b/>
          <w:color w:val="000000"/>
          <w:sz w:val="24"/>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exercise price per Common Share under this Warrant shall be </w:t>
      </w:r>
      <w:r>
        <w:rPr>
          <w:rFonts w:ascii="Times New Roman" w:hAnsi="Times New Roman"/>
          <w:b/>
          <w:color w:val="000000"/>
          <w:sz w:val="24"/>
        </w:rPr>
        <w:t>$0.91</w:t>
      </w:r>
      <w:r>
        <w:rPr>
          <w:rFonts w:ascii="Times New Roman" w:hAnsi="Times New Roman"/>
          <w:color w:val="000000"/>
          <w:sz w:val="24"/>
        </w:rPr>
        <w:t>, subject to adjustment hereunder (the “</w:t>
      </w:r>
      <w:r>
        <w:rPr>
          <w:rFonts w:ascii="Times New Roman" w:hAnsi="Times New Roman"/>
          <w:color w:val="000000"/>
          <w:sz w:val="24"/>
          <w:u w:val="single"/>
        </w:rPr>
        <w:t>Exercise Price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[(A-B)*(X)] by (A), where:</w:t>
      </w:r>
    </w:p>
    <w:p>
      <w:pPr>
        <w:pStyle w:val="TextBody"/>
        <w:bidi w:val="0"/>
        <w:jc w:val="both"/>
        <w:rPr>
          <w:rFonts w:ascii="Times New Roman" w:hAnsi="Times New Roman"/>
          <w:sz w:val="20"/>
        </w:rPr>
      </w:pPr>
      <w:r>
        <w:rPr>
          <w:rFonts w:ascii="Times New Roman" w:hAnsi="Times New Roman"/>
          <w:color w:val="000000"/>
          <w:sz w:val="24"/>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Share on the principal Trading Market as reported by Bloomberg L.P. (“</w:t>
      </w:r>
      <w:r>
        <w:rPr>
          <w:rFonts w:ascii="Times New Roman" w:hAnsi="Times New Roman"/>
          <w:color w:val="000000"/>
          <w:sz w:val="24"/>
          <w:u w:val="single"/>
        </w:rPr>
        <w:t>Bloomberg</w:t>
      </w:r>
      <w:r>
        <w:rPr>
          <w:rFonts w:ascii="Times New Roman" w:hAnsi="Times New Roman"/>
          <w:color w:val="000000"/>
          <w:sz w:val="20"/>
        </w:rPr>
        <w:t>”</w:t>
      </w:r>
      <w:r>
        <w:rPr>
          <w:rFonts w:ascii="Times New Roman" w:hAnsi="Times New Roman"/>
          <w:color w:val="000000"/>
          <w:sz w:val="24"/>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 the Exercise Price of this Warrant, as adjusted hereunder;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(X) = the number of Warrant Shares that would be issuable upon exercise of this Warrant in accordance with the terms of this Warrant if such exercise were by means of a cash exercise rather than a cashless exercise.</w:t>
      </w:r>
    </w:p>
    <w:p>
      <w:pPr>
        <w:pStyle w:val="TextBody"/>
        <w:bidi w:val="0"/>
        <w:jc w:val="both"/>
        <w:rPr/>
      </w:pPr>
      <w:r>
        <w:rPr/>
        <w:t> </w:t>
      </w:r>
    </w:p>
    <w:p>
      <w:pPr>
        <w:pStyle w:val="TextBody"/>
        <w:bidi w:val="0"/>
        <w:spacing w:before="0" w:after="240"/>
        <w:jc w:val="both"/>
        <w:rPr/>
      </w:pPr>
      <w:r>
        <w:rPr>
          <w:color w:val="000000"/>
          <w:u w:val="single"/>
        </w:rPr>
        <w:t>“</w:t>
      </w:r>
      <w:r>
        <w:rPr>
          <w:rFonts w:ascii="Times New Roman" w:hAnsi="Times New Roman"/>
          <w:color w:val="000000"/>
          <w:sz w:val="24"/>
          <w:u w:val="single"/>
        </w:rPr>
        <w:t>Bid Price</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Share is then listed or quoted on a Trading Market, the bid price of the Common Share for the time in question (or the nearest preceding date) on the Trading Market on which the Common Share is then listed or quoted as reported by Bloomberg (based on a Trading Day from 9:30 a.m. (New York City time) to 4:02 p.m. (New York City time)), (b) if the OTCQB Venture Market (the “</w:t>
      </w:r>
      <w:r>
        <w:rPr>
          <w:rFonts w:ascii="Times New Roman" w:hAnsi="Times New Roman"/>
          <w:color w:val="000000"/>
          <w:sz w:val="24"/>
          <w:u w:val="single"/>
        </w:rPr>
        <w:t>OTCQB</w:t>
      </w:r>
      <w:r>
        <w:rPr>
          <w:rFonts w:ascii="Times New Roman" w:hAnsi="Times New Roman"/>
          <w:color w:val="000000"/>
          <w:sz w:val="20"/>
        </w:rPr>
        <w:t>”</w:t>
      </w:r>
      <w:r>
        <w:rPr>
          <w:rFonts w:ascii="Times New Roman" w:hAnsi="Times New Roman"/>
          <w:color w:val="000000"/>
          <w:sz w:val="24"/>
        </w:rPr>
        <w:t>) or the OTCQX Best Market (the “</w:t>
      </w:r>
      <w:r>
        <w:rPr>
          <w:rFonts w:ascii="Times New Roman" w:hAnsi="Times New Roman"/>
          <w:color w:val="000000"/>
          <w:sz w:val="24"/>
          <w:u w:val="single"/>
        </w:rPr>
        <w:t>OTCQX</w:t>
      </w:r>
      <w:r>
        <w:rPr>
          <w:rFonts w:ascii="Times New Roman" w:hAnsi="Times New Roman"/>
          <w:color w:val="000000"/>
          <w:sz w:val="20"/>
        </w:rPr>
        <w:t>”</w:t>
      </w:r>
      <w:r>
        <w:rPr>
          <w:rFonts w:ascii="Times New Roman" w:hAnsi="Times New Roman"/>
          <w:color w:val="000000"/>
          <w:sz w:val="24"/>
        </w:rPr>
        <w:t>) is not a Trading Market, the volume weighted average price of the Common Share for such date (or the nearest preceding date) on OTCQB or OTCQX as applicable, (c) if the Common Share is not then listed or quoted for trading on OTCQB or OTCQX and if prices for the Common Share are then reported on The Pink Open Market operated by the OTC Markets, Inc. (the “</w:t>
      </w:r>
      <w:r>
        <w:rPr>
          <w:rFonts w:ascii="Times New Roman" w:hAnsi="Times New Roman"/>
          <w:color w:val="000000"/>
          <w:sz w:val="24"/>
          <w:u w:val="single"/>
        </w:rPr>
        <w:t>Pink Market</w:t>
      </w:r>
      <w:r>
        <w:rPr>
          <w:rFonts w:ascii="Times New Roman" w:hAnsi="Times New Roman"/>
          <w:color w:val="000000"/>
          <w:sz w:val="20"/>
        </w:rPr>
        <w:t>”</w:t>
      </w:r>
      <w:r>
        <w:rPr>
          <w:rFonts w:ascii="Times New Roman" w:hAnsi="Times New Roman"/>
          <w:color w:val="000000"/>
          <w:sz w:val="24"/>
        </w:rPr>
        <w:t>) (or a similar organization or agency succeeding to its functions of reporting prices), the most recent bid price per Common Share so reported, or (d) in all other cases, the fair market value of a share of Common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240"/>
        <w:jc w:val="both"/>
        <w:rPr/>
      </w:pPr>
      <w:r>
        <w:rPr>
          <w:color w:val="000000"/>
        </w:rPr>
        <w:t>“</w:t>
      </w:r>
      <w:r>
        <w:rPr>
          <w:rFonts w:ascii="Times New Roman" w:hAnsi="Times New Roman"/>
          <w:color w:val="000000"/>
          <w:sz w:val="24"/>
          <w:u w:val="single"/>
        </w:rPr>
        <w:t>VWAP</w:t>
      </w:r>
      <w:r>
        <w:rPr>
          <w:rFonts w:ascii="Times New Roman" w:hAnsi="Times New Roman"/>
          <w:color w:val="000000"/>
          <w:sz w:val="20"/>
        </w:rPr>
        <w:t xml:space="preserve">” </w:t>
      </w:r>
      <w:r>
        <w:rPr>
          <w:rFonts w:ascii="Times New Roman" w:hAnsi="Times New Roman"/>
          <w:color w:val="000000"/>
          <w:sz w:val="24"/>
        </w:rPr>
        <w:t>means, for any date, the price determined by the first of the following clauses that applies: (a) if the Common Share is then listed or quoted on a Trading Market, the daily volume weighted average price of the Common Share for such date (or the nearest preceding date) on the Trading Market on which the Common Share is then listed or quoted as reported by Bloomberg (based on a Trading Day from 9:30 a.m. (New York City time) to 4:02 p.m. (New York City time)), (b) if the OTCQB or the OTCQX is not a Trading Market, the volume weighted average price of the Common Share for such date (or the nearest preceding date) on OTCQB or OTCQX as applicable, (c) if the Common Share is not then listed or quoted for trading on OTCQB or OTCQX and if prices for the Common Share are then reported on the Pink Market, the most recent bid price per Common Share so reported, or (d) in all other cases, the fair market value of a Common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Delivery of Warrant Shares Upon Exercise</w:t>
      </w:r>
      <w:r>
        <w:rPr>
          <w:rFonts w:ascii="Times New Roman" w:hAnsi="Times New Roman"/>
          <w:color w:val="000000"/>
          <w:sz w:val="24"/>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4"/>
          <w:u w:val="single"/>
        </w:rPr>
        <w:t>DWAC</w:t>
      </w:r>
      <w:r>
        <w:rPr>
          <w:color w:val="000000"/>
        </w:rPr>
        <w:t>”</w:t>
      </w:r>
      <w:r>
        <w:rPr>
          <w:rFonts w:ascii="Times New Roman" w:hAnsi="Times New Roman"/>
          <w:color w:val="000000"/>
          <w:sz w:val="24"/>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delivery of the aggregate Exercise Price to the Company (if applicable), and (ii) the number of Trading Days comprising the Standard Settlement Period, in each case (i) or (ii), after the delivery to the Company of the Notice of Exercise and subject to the payment of aggregate Exercise Price to the Company (if applicable) (such date, the “</w:t>
      </w:r>
      <w:r>
        <w:rPr>
          <w:rFonts w:ascii="Times New Roman" w:hAnsi="Times New Roman"/>
          <w:color w:val="000000"/>
          <w:sz w:val="24"/>
          <w:u w:val="single"/>
        </w:rPr>
        <w:t>Warrant Share Delivery Date</w:t>
      </w:r>
      <w:r>
        <w:rPr>
          <w:color w:val="000000"/>
        </w:rPr>
        <w:t>”</w:t>
      </w:r>
      <w:r>
        <w:rPr>
          <w:rFonts w:ascii="Times New Roman" w:hAnsi="Times New Roman"/>
          <w:color w:val="000000"/>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Share on the date of the applicable Notice of Exercise), $10 per Trading Day (increasing to $20 per Trading Day on the third (3</w:t>
      </w:r>
      <w:r>
        <w:rPr>
          <w:rFonts w:ascii="Times New Roman" w:hAnsi="Times New Roman"/>
          <w:color w:val="000000"/>
          <w:sz w:val="16"/>
        </w:rPr>
        <w:t>rd</w:t>
      </w:r>
      <w:r>
        <w:rPr>
          <w:rFonts w:ascii="Times New Roman" w:hAnsi="Times New Roman"/>
          <w:color w:val="000000"/>
          <w:sz w:val="24"/>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olor w:val="000000"/>
          <w:sz w:val="24"/>
          <w:u w:val="single"/>
        </w:rPr>
        <w:t>Standard Settlement Period</w:t>
      </w:r>
      <w:r>
        <w:rPr>
          <w:color w:val="000000"/>
        </w:rPr>
        <w:t xml:space="preserve">” </w:t>
      </w:r>
      <w:r>
        <w:rPr>
          <w:rFonts w:ascii="Times New Roman" w:hAnsi="Times New Roman"/>
          <w:color w:val="000000"/>
          <w:sz w:val="24"/>
        </w:rPr>
        <w:t xml:space="preserve">means the standard settlement period, expressed in a number of Trading Days, on the Company’s primary Trading Market with respect to the Common Share as in effect on the date of delivery of the Notice of Exercise.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Delivery of New Warrants Upon Exercise</w:t>
      </w:r>
      <w:r>
        <w:rPr>
          <w:rFonts w:ascii="Times New Roman" w:hAnsi="Times New Roman"/>
          <w:color w:val="000000"/>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Rescission Rights</w:t>
      </w:r>
      <w:r>
        <w:rPr>
          <w:rFonts w:ascii="Times New Roman" w:hAnsi="Times New Roman"/>
          <w:color w:val="000000"/>
          <w:sz w:val="24"/>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Compensation for Buy-In on Failure to Timely Deliver Warrant Shares Upon Exercise</w:t>
      </w:r>
      <w:r>
        <w:rPr>
          <w:rFonts w:ascii="Times New Roman" w:hAnsi="Times New Roman"/>
          <w:color w:val="000000"/>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(subject to receipt of the aggregate exercise price for the applicable exercise (other than in the case of a cashless exercise)),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hAnsi="Times New Roman"/>
          <w:color w:val="000000"/>
          <w:sz w:val="24"/>
          <w:u w:val="single"/>
        </w:rPr>
        <w:t>Buy-In</w:t>
      </w:r>
      <w:r>
        <w:rPr>
          <w:color w:val="000000"/>
        </w:rPr>
        <w:t>”</w:t>
      </w:r>
      <w:r>
        <w:rPr>
          <w:rFonts w:ascii="Times New Roman" w:hAnsi="Times New Roman"/>
          <w:color w:val="000000"/>
          <w:sz w:val="24"/>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No Fractional Shares or Scrip</w:t>
      </w:r>
      <w:r>
        <w:rPr>
          <w:rFonts w:ascii="Times New Roman" w:hAnsi="Times New Roman"/>
          <w:color w:val="000000"/>
          <w:sz w:val="24"/>
        </w:rPr>
        <w:t xml:space="preserve">. No fractional shares or scrip representing fractional shares shall be issued upon the exercise of this Warrant. As to any fraction of a share which the Holder would otherwise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Charges, Taxes and Expenses</w:t>
      </w:r>
      <w:r>
        <w:rPr>
          <w:rFonts w:ascii="Times New Roman" w:hAnsi="Times New Roman"/>
          <w:color w:val="000000"/>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Closing of Books</w:t>
      </w:r>
      <w:r>
        <w:rPr>
          <w:rFonts w:ascii="Times New Roman" w:hAnsi="Times New Roman"/>
          <w:color w:val="000000"/>
          <w:sz w:val="24"/>
        </w:rPr>
        <w:t>. The Company will not close its shareholder books or records in any manner which prevents the timely exercise of this Warrant,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w:t>
      </w:r>
      <w:r>
        <w:rPr>
          <w:rFonts w:ascii="Times New Roman" w:hAnsi="Times New Roman"/>
          <w:color w:val="000000"/>
          <w:sz w:val="24"/>
        </w:rPr>
        <w:t xml:space="preserve">. </w:t>
      </w: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If the Company, at any time while this Warrant is outstanding: (i) pays a stock dividend or otherwise makes a distribution or distributions on its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stock split) outstanding Common Shares into a smaller number of shares, or (iv) issues by reclassification of Common Shares any shares of capital stock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Subsequent Rights Offerings</w:t>
      </w:r>
      <w:r>
        <w:rPr>
          <w:rFonts w:ascii="Times New Roman" w:hAnsi="Times New Roman"/>
          <w:color w:val="000000"/>
          <w:sz w:val="24"/>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hAnsi="Times New Roman"/>
          <w:color w:val="000000"/>
          <w:sz w:val="24"/>
          <w:u w:val="single"/>
        </w:rPr>
        <w:t>Purchase Rights</w:t>
      </w:r>
      <w:r>
        <w:rPr>
          <w:color w:val="000000"/>
        </w:rPr>
        <w:t>”</w:t>
      </w:r>
      <w:r>
        <w:rPr>
          <w:rFonts w:ascii="Times New Roman" w:hAnsi="Times New Roman"/>
          <w:color w:val="000000"/>
          <w:sz w:val="24"/>
        </w:rPr>
        <w:t xml:space="preserve">), then the Holder will be entitled to acquire, upon the terms applicable to such Purchase Rights, the aggregate Purchase Rights which the Holder could have acquired if the Holder had held the number of Common Shares acquirable upon complete exercise of this Warrant immediately before the date on which a record is taken for the grant, issuance or sale of such Purchase Rights, or, if no such record is taken, the date as of which the record holders of Common Shares are to be determined for the grant, issue or sale of such Purchase Rights.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 Rata Distributions</w:t>
      </w:r>
      <w:r>
        <w:rPr>
          <w:rFonts w:ascii="Times New Roman" w:hAnsi="Times New Roman"/>
          <w:color w:val="000000"/>
          <w:sz w:val="24"/>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4"/>
          <w:u w:val="single"/>
        </w:rPr>
        <w:t>Distribution</w:t>
      </w:r>
      <w:r>
        <w:rPr>
          <w:color w:val="000000"/>
        </w:rPr>
        <w:t>”</w:t>
      </w:r>
      <w:r>
        <w:rPr>
          <w:rFonts w:ascii="Times New Roman" w:hAnsi="Times New Roman"/>
          <w:color w:val="000000"/>
          <w:sz w:val="24"/>
        </w:rPr>
        <w:t xml:space="preserve">),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immediately before the date of which a record is taken for such Distribution, or, if no such record is taken, the date as of which the record holders of Common Shares are to be determined for the participation in such Distribution.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except, in each case of the preceding clauses (i) through and including (v), actions taken solely in connection with an internal reorganization (each a “</w:t>
      </w:r>
      <w:r>
        <w:rPr>
          <w:rFonts w:ascii="Times New Roman" w:hAnsi="Times New Roman"/>
          <w:color w:val="000000"/>
          <w:sz w:val="24"/>
          <w:u w:val="single"/>
        </w:rPr>
        <w:t>Fundamental Transaction</w:t>
      </w:r>
      <w:r>
        <w:rPr>
          <w:color w:val="000000"/>
        </w:rPr>
        <w:t>”</w:t>
      </w:r>
      <w:r>
        <w:rPr>
          <w:rFonts w:ascii="Times New Roman" w:hAnsi="Times New Roman"/>
          <w:color w:val="000000"/>
          <w:sz w:val="24"/>
        </w:rPr>
        <w:t xml:space="preserve">), then, upon any subsequent exercise of this Warrant, the Holder shall have the right to receive, for each Warrant Share that would have been issuable </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upon such exercise immediately prior to the occurrence of such Fundamental Transaction, at the option of the Holder, the number of Common Shares of the successor or acquiring corporation or of the Company, if it is the surviving corporation, and any additional consideration (the “</w:t>
      </w:r>
      <w:r>
        <w:rPr>
          <w:rFonts w:ascii="Times New Roman" w:hAnsi="Times New Roman"/>
          <w:color w:val="000000"/>
          <w:sz w:val="24"/>
          <w:u w:val="single"/>
        </w:rPr>
        <w:t>Alternate Consideration</w:t>
      </w:r>
      <w:r>
        <w:rPr>
          <w:color w:val="000000"/>
        </w:rPr>
        <w:t>”</w:t>
      </w:r>
      <w:r>
        <w:rPr>
          <w:rFonts w:ascii="Times New Roman" w:hAnsi="Times New Roman"/>
          <w:color w:val="000000"/>
          <w:sz w:val="24"/>
        </w:rPr>
        <w:t>) receivable as a result of such Fundamental Transaction by a holder of the number of Common Shares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w:t>
      </w:r>
      <w:r>
        <w:rPr>
          <w:rFonts w:ascii="Times New Roman" w:hAnsi="Times New Roman"/>
          <w:color w:val="000000"/>
          <w:sz w:val="24"/>
          <w:u w:val="single"/>
        </w:rPr>
        <w:t>Black Scholes Value</w:t>
      </w:r>
      <w:r>
        <w:rPr>
          <w:color w:val="000000"/>
        </w:rPr>
        <w:t xml:space="preserve">” </w:t>
      </w:r>
      <w:r>
        <w:rPr>
          <w:rFonts w:ascii="Times New Roman" w:hAnsi="Times New Roman"/>
          <w:color w:val="000000"/>
          <w:sz w:val="24"/>
        </w:rPr>
        <w:t>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w:t>
      </w:r>
      <w:r>
        <w:rPr>
          <w:color w:val="000000"/>
        </w:rPr>
        <w:t xml:space="preserve"> </w:t>
      </w:r>
      <w:r>
        <w:rPr>
          <w:rFonts w:ascii="Times New Roman" w:hAnsi="Times New Roman"/>
          <w:color w:val="000000"/>
          <w:sz w:val="24"/>
        </w:rPr>
        <w:t>lesser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4"/>
        </w:rPr>
        <w:t>announcement of the applicable Fundamental Transaction (or, if earlier, the consummation of the Fundamental Transaction)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hAnsi="Times New Roman"/>
          <w:color w:val="000000"/>
          <w:sz w:val="24"/>
          <w:u w:val="single"/>
        </w:rPr>
        <w:t>Successor Entity</w:t>
      </w:r>
      <w:r>
        <w:rPr>
          <w:color w:val="000000"/>
        </w:rPr>
        <w:t>”</w:t>
      </w:r>
      <w:r>
        <w:rPr>
          <w:rFonts w:ascii="Times New Roman" w:hAnsi="Times New Roman"/>
          <w:color w:val="000000"/>
          <w:sz w:val="24"/>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Shares acquirable and receivable upon exercise of this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Common Shares for the issuance of Warrant Shares and/or (ii) whether a Fundamental Transaction occurs prior to the Initial Exercise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Notice to Holder</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Adjustment to Exercise Price</w:t>
      </w:r>
      <w:r>
        <w:rPr>
          <w:rFonts w:ascii="Times New Roman" w:hAnsi="Times New Roman"/>
          <w:color w:val="000000"/>
          <w:sz w:val="24"/>
        </w:rPr>
        <w:t xml:space="preserve">. Whenever the Exercise Price is adjusted pursuant to any provision of this Section 3, the Company shall promptly deliver to the Holder by a permitted notice setting forth the Exercise Price after such adjustment and any resulting adjustment to the number of Warrant Shares and setting forth a brief statement of the facts requiring such adjustment.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Notice to Allow Exercise by Holder</w:t>
      </w:r>
      <w:r>
        <w:rPr>
          <w:rFonts w:ascii="Times New Roman" w:hAnsi="Times New Roman"/>
          <w:color w:val="000000"/>
          <w:sz w:val="24"/>
        </w:rPr>
        <w:t>. If (A) the Company shall declare a dividend (or any other distribution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capital stock of any class or of any rights, (D) the approval of the shareholders of the Company shall be required in connection with any reclassification of the Common Shares, any consolidation or merger to which the Company (or any of its Subsidiaries) is a party, any sale or transfer of all or substantially all of its assets, or any compulsory share exchange whereby the Common Share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shares of the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Upon occurrence of the Milestone Event, the Company shall notify the Holder as soon as practicable thereafter.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w:t>
      </w:r>
      <w:r>
        <w:rPr>
          <w:rFonts w:ascii="Times New Roman" w:hAnsi="Times New Roman"/>
          <w:color w:val="000000"/>
          <w:sz w:val="24"/>
        </w:rPr>
        <w:t xml:space="preserve">. </w:t>
      </w:r>
      <w:r>
        <w:rPr>
          <w:rFonts w:ascii="Times New Roman" w:hAnsi="Times New Roman"/>
          <w:color w:val="000000"/>
          <w:sz w:val="24"/>
          <w:u w:val="single"/>
        </w:rPr>
        <w:t>Transfer of Warrant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w:t>
      </w:r>
      <w:r>
        <w:rPr>
          <w:rFonts w:ascii="Times New Roman" w:hAnsi="Times New Roman"/>
          <w:color w:val="000000"/>
          <w:sz w:val="24"/>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New Warrants</w:t>
      </w:r>
      <w:r>
        <w:rPr>
          <w:rFonts w:ascii="Times New Roman" w:hAnsi="Times New Roman"/>
          <w:color w:val="000000"/>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Warrant Register</w:t>
      </w:r>
      <w:r>
        <w:rPr>
          <w:rFonts w:ascii="Times New Roman" w:hAnsi="Times New Roman"/>
          <w:color w:val="000000"/>
          <w:sz w:val="24"/>
        </w:rPr>
        <w:t>. The Company shall register this Warrant, upon records to be maintained by the Company for that purpose (the “</w:t>
      </w:r>
      <w:r>
        <w:rPr>
          <w:rFonts w:ascii="Times New Roman" w:hAnsi="Times New Roman"/>
          <w:color w:val="000000"/>
          <w:sz w:val="24"/>
          <w:u w:val="single"/>
        </w:rPr>
        <w:t>Warrant Register</w:t>
      </w:r>
      <w:r>
        <w:rPr>
          <w:color w:val="000000"/>
        </w:rPr>
        <w:t>”</w:t>
      </w:r>
      <w:r>
        <w:rPr>
          <w:rFonts w:ascii="Times New Roman" w:hAnsi="Times New Roman"/>
          <w:color w:val="000000"/>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No Rights as Shareholder Until Exercise; No Settlement in Cash</w:t>
      </w:r>
      <w:r>
        <w:rPr>
          <w:rFonts w:ascii="Times New Roman" w:hAnsi="Times New Roman"/>
          <w:color w:val="000000"/>
          <w:sz w:val="24"/>
        </w:rPr>
        <w:t xml:space="preserve">.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Loss, Theft, Destruction or Mutilation of Warrant</w:t>
      </w:r>
      <w:r>
        <w:rPr>
          <w:rFonts w:ascii="Times New Roman" w:hAnsi="Times New Roman"/>
          <w:color w:val="000000"/>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Authorized Shares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covenants that, during the period the Warrant is outstanding, it will reserve from its authorized and unissued Common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Jurisdiction</w:t>
      </w:r>
      <w:r>
        <w:rPr>
          <w:rFonts w:ascii="Times New Roman" w:hAnsi="Times New Roman"/>
          <w:color w:val="000000"/>
          <w:sz w:val="24"/>
        </w:rPr>
        <w:t xml:space="preserve">. All questions concerning the construction, validity, enforcement and interpretation of this Warrant shall be determined in accordance with the provisions of the Purchase Agreement.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Restrictions</w:t>
      </w:r>
      <w:r>
        <w:rPr>
          <w:rFonts w:ascii="Times New Roman" w:hAnsi="Times New Roman"/>
          <w:color w:val="000000"/>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Nonwaiver and Expenses</w:t>
      </w:r>
      <w:r>
        <w:rPr>
          <w:rFonts w:ascii="Times New Roman" w:hAnsi="Times New Roman"/>
          <w:color w:val="000000"/>
          <w:sz w:val="24"/>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Warrant and hereby agrees to waive and not to assert the defense in any action for specific performance that a remedy at law would be adequate.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This Warrant may be modified or amended or the provisions hereof waived with the written consent of the Company, on the one hand, and the Holder of this Warrant, on the other hand.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used in this Warrant are for the convenience of reference only and shall not, for any purpose, be deemed a part of this Warrant.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both"/>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caused this Warrant to be executed by its officer thereunto duly authorized as of the date first above indicated.</w:t>
      </w:r>
    </w:p>
    <w:p>
      <w:pPr>
        <w:pStyle w:val="TextBody"/>
        <w:bidi w:val="0"/>
        <w:jc w:val="both"/>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4"/>
              </w:rPr>
            </w:pPr>
            <w:r>
              <w:rPr>
                <w:rFonts w:ascii="Times New Roman" w:hAnsi="Times New Roman"/>
                <w:b/>
                <w:caps/>
                <w:color w:val="000000"/>
                <w:sz w:val="24"/>
              </w:rPr>
              <w:t>Lineage Cell Therapeutics, Inc.</w:t>
            </w:r>
          </w:p>
          <w:p>
            <w:pPr>
              <w:pStyle w:val="TableContents"/>
              <w:bidi w:val="0"/>
              <w:jc w:val="left"/>
              <w:rPr/>
            </w:pPr>
            <w:r>
              <w:rPr/>
              <w:t> </w:t>
            </w:r>
          </w:p>
          <w:p>
            <w:pPr>
              <w:pStyle w:val="TableContents"/>
              <w:bidi w:val="0"/>
              <w:spacing w:before="0" w:after="283"/>
              <w:jc w:val="left"/>
              <w:rPr/>
            </w:pPr>
            <w:r>
              <w:rPr/>
              <w:t> </w:t>
            </w:r>
          </w:p>
        </w:tc>
      </w:tr>
      <w:tr>
        <w:trPr/>
        <w:tc>
          <w:tcPr>
            <w:tcW w:w="465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By:</w:t>
            </w:r>
            <w:r>
              <w:rPr>
                <w:rFonts w:ascii="Times New Roman" w:hAnsi="Times New Roman"/>
                <w:i/>
                <w:color w:val="000000"/>
                <w:sz w:val="24"/>
                <w:u w:val="single"/>
              </w:rPr>
              <w:t>/s/Brian M. Culley</w:t>
            </w:r>
            <w:r>
              <w:rPr>
                <w:rFonts w:ascii="Times New Roman" w:hAnsi="Times New Roman"/>
                <w:color w:val="000000"/>
                <w:sz w:val="24"/>
              </w:rPr>
              <w:t xml:space="preserve"> </w:t>
            </w:r>
          </w:p>
          <w:p>
            <w:pPr>
              <w:pStyle w:val="TableContents"/>
              <w:bidi w:val="0"/>
              <w:jc w:val="left"/>
              <w:rPr>
                <w:color w:val="000000"/>
              </w:rPr>
            </w:pPr>
            <w:r>
              <w:rPr>
                <w:color w:val="000000"/>
              </w:rPr>
              <w:t>     </w:t>
            </w:r>
            <w:r>
              <w:rPr>
                <w:rFonts w:ascii="Times New Roman" w:hAnsi="Times New Roman"/>
                <w:color w:val="000000"/>
                <w:sz w:val="24"/>
              </w:rPr>
              <w:t>Name: Brian M. Culley</w:t>
            </w:r>
          </w:p>
          <w:p>
            <w:pPr>
              <w:pStyle w:val="TableContents"/>
              <w:bidi w:val="0"/>
              <w:jc w:val="left"/>
              <w:rPr>
                <w:color w:val="000000"/>
              </w:rPr>
            </w:pPr>
            <w:r>
              <w:rPr>
                <w:color w:val="000000"/>
              </w:rPr>
              <w:t>     </w:t>
            </w:r>
            <w:r>
              <w:rPr>
                <w:rFonts w:ascii="Times New Roman" w:hAnsi="Times New Roman"/>
                <w:color w:val="000000"/>
                <w:sz w:val="24"/>
              </w:rPr>
              <w:t>Title: Chief Executive Officer</w:t>
            </w:r>
          </w:p>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aps/>
          <w:color w:val="000000"/>
          <w:sz w:val="24"/>
        </w:rPr>
        <w:t xml:space="preserve">To: </w:t>
      </w:r>
      <w:r>
        <w:rPr>
          <w:rFonts w:ascii="Times New Roman" w:hAnsi="Times New Roman"/>
          <w:b/>
          <w:caps/>
          <w:color w:val="000000"/>
          <w:sz w:val="24"/>
        </w:rPr>
        <w:t>Lineage Cell Therapeutics, Inc.</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shall take the form of (check applicable box):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in lawful money of the United States;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issue said Warrant Shares in the name of the undersigned or in such other name as is specified below:</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The Warrant Shares shall be delivered to the following DWAC Account Number: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aps/>
          <w:color w:val="000000"/>
          <w:sz w:val="24"/>
        </w:rPr>
      </w:pPr>
      <w:r>
        <w:rPr>
          <w:rFonts w:ascii="Times New Roman" w:hAnsi="Times New Roman"/>
          <w:caps/>
          <w:color w:val="000000"/>
          <w:sz w:val="24"/>
        </w:rPr>
        <w:t>[SIGNATURE OF HOLDER]</w:t>
      </w:r>
    </w:p>
    <w:p>
      <w:pPr>
        <w:pStyle w:val="TextBody"/>
        <w:bidi w:val="0"/>
        <w:jc w:val="both"/>
        <w:rPr>
          <w:rFonts w:ascii="Times New Roman" w:hAnsi="Times New Roman"/>
          <w:color w:val="000000"/>
          <w:sz w:val="24"/>
        </w:rPr>
      </w:pPr>
      <w:r>
        <w:rPr>
          <w:rFonts w:ascii="Times New Roman" w:hAnsi="Times New Roman"/>
          <w:color w:val="000000"/>
          <w:sz w:val="24"/>
        </w:rPr>
        <w:t>Name of Investing Entity: ________________________________________________________________________</w:t>
      </w:r>
    </w:p>
    <w:p>
      <w:pPr>
        <w:pStyle w:val="TextBody"/>
        <w:bidi w:val="0"/>
        <w:jc w:val="both"/>
        <w:rPr>
          <w:rFonts w:ascii="Times New Roman" w:hAnsi="Times New Roman"/>
          <w:sz w:val="20"/>
        </w:rPr>
      </w:pPr>
      <w:r>
        <w:rPr>
          <w:rFonts w:ascii="Times New Roman" w:hAnsi="Times New Roman"/>
          <w:i/>
          <w:color w:val="000000"/>
          <w:sz w:val="24"/>
        </w:rPr>
        <w:t>Signature of Authorized Signatory of Investing Entity</w:t>
      </w:r>
      <w:r>
        <w:rPr>
          <w:rFonts w:ascii="Times New Roman" w:hAnsi="Times New Roman"/>
          <w:color w:val="000000"/>
          <w:sz w:val="24"/>
        </w:rPr>
        <w:t>: 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 of Authorized Signatory: 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 of Authorized Signatory: ____________________________________________________________________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 B</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 FORM</w:t>
      </w:r>
    </w:p>
    <w:p>
      <w:pPr>
        <w:pStyle w:val="TextBody"/>
        <w:bidi w:val="0"/>
        <w:spacing w:before="0" w:after="120"/>
        <w:jc w:val="both"/>
        <w:rPr>
          <w:rFonts w:ascii="Times New Roman" w:hAnsi="Times New Roman"/>
          <w:i/>
          <w:color w:val="000000"/>
          <w:sz w:val="24"/>
        </w:rPr>
      </w:pPr>
      <w:r>
        <w:rPr>
          <w:rFonts w:ascii="Times New Roman" w:hAnsi="Times New Roman"/>
          <w:i/>
          <w:color w:val="000000"/>
          <w:sz w:val="24"/>
        </w:rPr>
        <w:t>(To assign the foregoing Warrant, execute this form and supply required information. Do not use this form to exercise the Warrant to purchase shares.)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FOR VALUE RECEIVED, the foregoing Warrant and all rights evidenced thereby are hereby assigned to</w:t>
      </w:r>
    </w:p>
    <w:tbl>
      <w:tblPr>
        <w:tblW w:w="8462" w:type="dxa"/>
        <w:jc w:val="left"/>
        <w:tblInd w:w="0" w:type="dxa"/>
        <w:tblLayout w:type="fixed"/>
        <w:tblCellMar>
          <w:top w:w="28" w:type="dxa"/>
          <w:left w:w="28" w:type="dxa"/>
          <w:bottom w:w="28" w:type="dxa"/>
          <w:right w:w="28" w:type="dxa"/>
        </w:tblCellMar>
      </w:tblPr>
      <w:tblGrid>
        <w:gridCol w:w="3751"/>
        <w:gridCol w:w="4711"/>
      </w:tblGrid>
      <w:tr>
        <w:trPr/>
        <w:tc>
          <w:tcPr>
            <w:tcW w:w="375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tc>
      </w:tr>
      <w:tr>
        <w:trPr/>
        <w:tc>
          <w:tcPr>
            <w:tcW w:w="3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4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Phone Number:</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Email Address: </w:t>
            </w:r>
          </w:p>
        </w:tc>
        <w:tc>
          <w:tcPr>
            <w:tcW w:w="471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(Please Print)</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______________________________________</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Dated: _______________ __, ______</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Holder’s Signature:</w:t>
            </w:r>
          </w:p>
        </w:tc>
        <w:tc>
          <w:tcPr>
            <w:tcW w:w="4711"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3751" w:type="dxa"/>
            <w:tcBorders/>
            <w:tcMar>
              <w:top w:w="0" w:type="dxa"/>
              <w:left w:w="0" w:type="dxa"/>
              <w:bottom w:w="0" w:type="dxa"/>
              <w:right w:w="0" w:type="dxa"/>
            </w:tcMar>
            <w:vAlign w:val="center"/>
          </w:tcPr>
          <w:p>
            <w:pPr>
              <w:pStyle w:val="TableContents"/>
              <w:bidi w:val="0"/>
              <w:spacing w:before="0" w:after="600"/>
              <w:jc w:val="both"/>
              <w:rPr>
                <w:rFonts w:ascii="Times New Roman" w:hAnsi="Times New Roman"/>
                <w:color w:val="000000"/>
                <w:sz w:val="24"/>
              </w:rPr>
            </w:pPr>
            <w:r>
              <w:rPr>
                <w:rFonts w:ascii="Times New Roman" w:hAnsi="Times New Roman"/>
                <w:color w:val="000000"/>
                <w:sz w:val="24"/>
              </w:rPr>
              <w:t>Holder’s Address:</w:t>
            </w:r>
          </w:p>
        </w:tc>
        <w:tc>
          <w:tcPr>
            <w:tcW w:w="4711" w:type="dxa"/>
            <w:tcBorders/>
            <w:tcMar>
              <w:top w:w="0" w:type="dxa"/>
              <w:left w:w="0" w:type="dxa"/>
              <w:bottom w:w="0" w:type="dxa"/>
              <w:right w:w="0" w:type="dxa"/>
            </w:tcMar>
            <w:vAlign w:val="center"/>
          </w:tcPr>
          <w:p>
            <w:pPr>
              <w:pStyle w:val="TableContents"/>
              <w:bidi w:val="0"/>
              <w:spacing w:before="0" w:after="600"/>
              <w:jc w:val="both"/>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2"/>
        </w:rPr>
      </w:pPr>
      <w:bookmarkStart w:id="40" w:name="lctx-ex19_01.htm"/>
      <w:bookmarkStart w:id="41" w:name="kslctxex19_01"/>
      <w:bookmarkEnd w:id="40"/>
      <w:bookmarkEnd w:id="41"/>
      <w:r>
        <w:rPr>
          <w:rFonts w:ascii="Arial" w:hAnsi="Arial"/>
          <w:color w:val="000000"/>
          <w:sz w:val="22"/>
        </w:rPr>
        <w:t>Exhibit 19.01</w:t>
      </w:r>
      <w:r>
        <w:br w:type="page"/>
      </w:r>
    </w:p>
    <w:p>
      <w:pPr>
        <w:pStyle w:val="TextBody"/>
        <w:bidi w:val="0"/>
        <w:spacing w:before="0" w:after="120"/>
        <w:jc w:val="center"/>
        <w:rPr/>
      </w:pPr>
      <w:r>
        <w:rPr/>
        <w:drawing>
          <wp:inline distT="0" distB="0" distL="0" distR="0">
            <wp:extent cx="3867150" cy="800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0"/>
                    <a:stretch>
                      <a:fillRect/>
                    </a:stretch>
                  </pic:blipFill>
                  <pic:spPr bwMode="auto">
                    <a:xfrm>
                      <a:off x="0" y="0"/>
                      <a:ext cx="3867150" cy="800100"/>
                    </a:xfrm>
                    <a:prstGeom prst="rect">
                      <a:avLst/>
                    </a:prstGeom>
                  </pic:spPr>
                </pic:pic>
              </a:graphicData>
            </a:graphic>
          </wp:inline>
        </w:drawing>
      </w:r>
    </w:p>
    <w:p>
      <w:pPr>
        <w:pStyle w:val="TextBody"/>
        <w:bidi w:val="0"/>
        <w:spacing w:before="0" w:after="120"/>
        <w:jc w:val="center"/>
        <w:rPr>
          <w:rFonts w:ascii="Times New Roman" w:hAnsi="Times New Roman"/>
          <w:sz w:val="20"/>
        </w:rPr>
      </w:pPr>
      <w:r>
        <w:rPr>
          <w:rFonts w:ascii="Arial" w:hAnsi="Arial"/>
          <w:b/>
          <w:color w:val="000000"/>
          <w:sz w:val="22"/>
        </w:rPr>
        <w:t>Insider Trading Policy</w:t>
        <w:br/>
      </w:r>
      <w:r>
        <w:rPr>
          <w:rFonts w:ascii="Arial" w:hAnsi="Arial"/>
          <w:color w:val="000000"/>
          <w:sz w:val="22"/>
        </w:rPr>
        <w:t>(As of June 11, 2024)</w:t>
      </w:r>
    </w:p>
    <w:p>
      <w:pPr>
        <w:pStyle w:val="TextBody"/>
        <w:bidi w:val="0"/>
        <w:spacing w:before="0" w:after="120"/>
        <w:jc w:val="center"/>
        <w:rPr>
          <w:rFonts w:ascii="Arial" w:hAnsi="Arial"/>
          <w:b/>
          <w:color w:val="000000"/>
          <w:sz w:val="22"/>
        </w:rPr>
      </w:pPr>
      <w:r>
        <w:rPr>
          <w:rFonts w:ascii="Arial" w:hAnsi="Arial"/>
          <w:b/>
          <w:color w:val="000000"/>
          <w:sz w:val="22"/>
        </w:rPr>
        <w:t>INTRODUCTION</w:t>
      </w:r>
    </w:p>
    <w:p>
      <w:pPr>
        <w:pStyle w:val="TextBody"/>
        <w:bidi w:val="0"/>
        <w:spacing w:before="0" w:after="120"/>
        <w:jc w:val="both"/>
        <w:rPr>
          <w:rFonts w:ascii="Times New Roman" w:hAnsi="Times New Roman"/>
          <w:sz w:val="20"/>
        </w:rPr>
      </w:pPr>
      <w:r>
        <w:rPr>
          <w:rFonts w:ascii="Arial" w:hAnsi="Arial"/>
          <w:color w:val="000000"/>
          <w:sz w:val="22"/>
        </w:rPr>
        <w:t>The Board of Directors (the “</w:t>
      </w:r>
      <w:r>
        <w:rPr>
          <w:rFonts w:ascii="Arial" w:hAnsi="Arial"/>
          <w:b/>
          <w:i/>
          <w:color w:val="000000"/>
          <w:sz w:val="22"/>
        </w:rPr>
        <w:t>Board</w:t>
      </w:r>
      <w:r>
        <w:rPr>
          <w:rFonts w:ascii="Times New Roman" w:hAnsi="Times New Roman"/>
          <w:color w:val="000000"/>
          <w:sz w:val="20"/>
        </w:rPr>
        <w:t>”</w:t>
      </w:r>
      <w:r>
        <w:rPr>
          <w:rFonts w:ascii="Arial" w:hAnsi="Arial"/>
          <w:color w:val="000000"/>
          <w:sz w:val="22"/>
        </w:rPr>
        <w:t>) of Lineage Cell Therapeutics, Inc. (the “</w:t>
      </w:r>
      <w:r>
        <w:rPr>
          <w:rFonts w:ascii="Arial" w:hAnsi="Arial"/>
          <w:b/>
          <w:i/>
          <w:color w:val="000000"/>
          <w:sz w:val="22"/>
        </w:rPr>
        <w:t>Company</w:t>
      </w:r>
      <w:r>
        <w:rPr>
          <w:rFonts w:ascii="Times New Roman" w:hAnsi="Times New Roman"/>
          <w:color w:val="000000"/>
          <w:sz w:val="20"/>
        </w:rPr>
        <w:t>”</w:t>
      </w:r>
      <w:r>
        <w:rPr>
          <w:rFonts w:ascii="Arial" w:hAnsi="Arial"/>
          <w:color w:val="000000"/>
          <w:sz w:val="22"/>
        </w:rPr>
        <w:t>) has adopted this Insider Trading Policy (this “</w:t>
      </w:r>
      <w:r>
        <w:rPr>
          <w:rFonts w:ascii="Arial" w:hAnsi="Arial"/>
          <w:b/>
          <w:i/>
          <w:color w:val="000000"/>
          <w:sz w:val="22"/>
        </w:rPr>
        <w:t>Policy</w:t>
      </w:r>
      <w:r>
        <w:rPr>
          <w:rFonts w:ascii="Times New Roman" w:hAnsi="Times New Roman"/>
          <w:color w:val="000000"/>
          <w:sz w:val="20"/>
        </w:rPr>
        <w:t>”</w:t>
      </w:r>
      <w:r>
        <w:rPr>
          <w:rFonts w:ascii="Arial" w:hAnsi="Arial"/>
          <w:color w:val="000000"/>
          <w:sz w:val="22"/>
        </w:rPr>
        <w:t>) to promote compliance by Insiders (as defined below) with laws that prohibit certain persons aware of material nonpublic information about a company from (i) trading in securities of that company, or (ii) providing material nonpublic information to other persons who may trade on the basis of such information.</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Federal and state securities laws generally prohibit the purchase or sale of a company’s securities by persons aware of material nonpublic information about that company. These laws also prohibit persons aware of such material nonpublic information from disclosing such information to others who may trade on the basis of such information. Companies and their controlling persons are also subject to liability if they fail to take reasonable steps to prevent insider trading by their personnel.</w:t>
      </w:r>
    </w:p>
    <w:p>
      <w:pPr>
        <w:pStyle w:val="TextBody"/>
        <w:bidi w:val="0"/>
        <w:spacing w:before="0" w:after="120"/>
        <w:jc w:val="both"/>
        <w:rPr>
          <w:rFonts w:ascii="Times New Roman" w:hAnsi="Times New Roman"/>
          <w:sz w:val="20"/>
        </w:rPr>
      </w:pPr>
      <w:r>
        <w:rPr>
          <w:rFonts w:ascii="Arial" w:hAnsi="Arial"/>
          <w:color w:val="000000"/>
          <w:sz w:val="22"/>
        </w:rPr>
        <w:t>It is important that you understand the breadth of activities that constitute illegal insider trading and their potentially severe consequences. The U.S. Securities and Exchange Commission (the “</w:t>
      </w:r>
      <w:r>
        <w:rPr>
          <w:rFonts w:ascii="Arial" w:hAnsi="Arial"/>
          <w:b/>
          <w:i/>
          <w:color w:val="000000"/>
          <w:sz w:val="22"/>
        </w:rPr>
        <w:t>SEC</w:t>
      </w:r>
      <w:r>
        <w:rPr>
          <w:rFonts w:ascii="Times New Roman" w:hAnsi="Times New Roman"/>
          <w:color w:val="000000"/>
          <w:sz w:val="20"/>
        </w:rPr>
        <w:t>”</w:t>
      </w:r>
      <w:r>
        <w:rPr>
          <w:rFonts w:ascii="Arial" w:hAnsi="Arial"/>
          <w:color w:val="000000"/>
          <w:sz w:val="22"/>
        </w:rPr>
        <w:t>) and the Financial Industry Regulatory Authority investigate and are very effective at detecting insider trading. The SEC pursues insider trading violations vigorously. Cases have been successfully prosecuted against trading by insiders through foreign accounts, trading by family members and friends, and trading involving only a small number of securities.</w:t>
      </w:r>
    </w:p>
    <w:p>
      <w:pPr>
        <w:pStyle w:val="TextBody"/>
        <w:bidi w:val="0"/>
        <w:spacing w:before="0" w:after="120"/>
        <w:jc w:val="both"/>
        <w:rPr>
          <w:rFonts w:ascii="Times New Roman" w:hAnsi="Times New Roman"/>
          <w:sz w:val="20"/>
        </w:rPr>
      </w:pPr>
      <w:r>
        <w:rPr>
          <w:rFonts w:ascii="Arial" w:hAnsi="Arial"/>
          <w:color w:val="000000"/>
          <w:sz w:val="22"/>
        </w:rPr>
        <w:t>Ultimately, you are responsible for determining whether you are in possession of material nonpublic information and ensuring that you, and your family members, household members and controlled entities whose transactions are subject to this Policy, as discussed below, comply with this Policy and do not engage in illegal insider trading. Any action on the part of the Company, the Compliance Officer (as defined below) or any other officer, employee or director under this Policy (or otherwise) does not in any way constitute legal advice or insulate an individual from liability under securities laws.</w:t>
      </w:r>
      <w:r>
        <w:rPr>
          <w:rFonts w:ascii="Times New Roman" w:hAnsi="Times New Roman"/>
          <w:color w:val="000000"/>
          <w:sz w:val="20"/>
        </w:rPr>
        <w:t xml:space="preserve"> </w:t>
      </w:r>
    </w:p>
    <w:p>
      <w:pPr>
        <w:pStyle w:val="TextBody"/>
        <w:bidi w:val="0"/>
        <w:spacing w:before="0" w:after="120"/>
        <w:jc w:val="center"/>
        <w:rPr>
          <w:rFonts w:ascii="Arial" w:hAnsi="Arial"/>
          <w:b/>
          <w:color w:val="000000"/>
          <w:sz w:val="22"/>
        </w:rPr>
      </w:pPr>
      <w:r>
        <w:rPr>
          <w:rFonts w:ascii="Arial" w:hAnsi="Arial"/>
          <w:b/>
          <w:color w:val="000000"/>
          <w:sz w:val="22"/>
        </w:rPr>
        <w:t>ADMINISTRATION OF THIS POLICY</w:t>
      </w:r>
    </w:p>
    <w:p>
      <w:pPr>
        <w:pStyle w:val="TextBody"/>
        <w:bidi w:val="0"/>
        <w:spacing w:before="0" w:after="120"/>
        <w:jc w:val="both"/>
        <w:rPr>
          <w:rFonts w:ascii="Times New Roman" w:hAnsi="Times New Roman"/>
          <w:sz w:val="20"/>
        </w:rPr>
      </w:pPr>
      <w:r>
        <w:rPr>
          <w:rFonts w:ascii="Arial" w:hAnsi="Arial"/>
          <w:color w:val="000000"/>
          <w:sz w:val="22"/>
        </w:rPr>
        <w:t>The Company’s General Counsel (or equivalent) will serve as the “</w:t>
      </w:r>
      <w:r>
        <w:rPr>
          <w:rFonts w:ascii="Arial" w:hAnsi="Arial"/>
          <w:b/>
          <w:i/>
          <w:color w:val="000000"/>
          <w:sz w:val="22"/>
        </w:rPr>
        <w:t>Compliance Officer</w:t>
      </w:r>
      <w:r>
        <w:rPr>
          <w:rFonts w:ascii="Times New Roman" w:hAnsi="Times New Roman"/>
          <w:color w:val="000000"/>
          <w:sz w:val="20"/>
        </w:rPr>
        <w:t xml:space="preserve">” </w:t>
      </w:r>
      <w:r>
        <w:rPr>
          <w:rFonts w:ascii="Arial" w:hAnsi="Arial"/>
          <w:color w:val="000000"/>
          <w:sz w:val="22"/>
        </w:rPr>
        <w:t>for this Policy and shall be responsible for the administration of this Policy. If the Company does not have a General Counsel, or if the General Counsel is absent or is otherwise unavailable, or a matter under this Policy involves the General Counsel, then the Company’s Chief Financial Officer or principal financial officer shall serve as the Compliance Officer. If the Company’s Chief Financial Officer or principal financial officer is serving as the Compliance Officer but is absent or is otherwise unavailable or a matter under this Policy involves the Company’s Chief Financial Officer or principal financial officer, then another employee of the Company designated by the Nominating and Corporate Governance Committee of the Board shall serve as the Compliance Officer for this Policy.</w:t>
      </w:r>
      <w:r>
        <w:rPr>
          <w:rFonts w:ascii="Times New Roman" w:hAnsi="Times New Roman"/>
          <w:color w:val="000000"/>
          <w:sz w:val="20"/>
        </w:rPr>
        <w:t xml:space="preserve"> </w:t>
      </w:r>
    </w:p>
    <w:p>
      <w:pPr>
        <w:pStyle w:val="TextBody"/>
        <w:bidi w:val="0"/>
        <w:spacing w:before="0" w:after="120"/>
        <w:jc w:val="center"/>
        <w:rPr>
          <w:rFonts w:ascii="Arial" w:hAnsi="Arial"/>
          <w:b/>
          <w:color w:val="000000"/>
          <w:sz w:val="22"/>
        </w:rPr>
      </w:pPr>
      <w:r>
        <w:rPr>
          <w:rFonts w:ascii="Arial" w:hAnsi="Arial"/>
          <w:b/>
          <w:color w:val="000000"/>
          <w:sz w:val="22"/>
        </w:rPr>
        <w:t>APPLICABILITY OF POLICY</w:t>
      </w:r>
    </w:p>
    <w:p>
      <w:pPr>
        <w:pStyle w:val="TextBody"/>
        <w:bidi w:val="0"/>
        <w:spacing w:before="0" w:after="120"/>
        <w:jc w:val="both"/>
        <w:rPr>
          <w:rFonts w:ascii="Arial" w:hAnsi="Arial"/>
          <w:b/>
          <w:i/>
          <w:color w:val="000000"/>
          <w:sz w:val="22"/>
        </w:rPr>
      </w:pPr>
      <w:r>
        <w:rPr>
          <w:rFonts w:ascii="Arial" w:hAnsi="Arial"/>
          <w:b/>
          <w:i/>
          <w:color w:val="000000"/>
          <w:sz w:val="22"/>
        </w:rPr>
        <w:t>Who is covered by this Policy?</w:t>
      </w:r>
    </w:p>
    <w:p>
      <w:pPr>
        <w:pStyle w:val="TextBody"/>
        <w:bidi w:val="0"/>
        <w:spacing w:before="0" w:after="120"/>
        <w:jc w:val="both"/>
        <w:rPr>
          <w:rFonts w:ascii="Times New Roman" w:hAnsi="Times New Roman"/>
          <w:sz w:val="20"/>
        </w:rPr>
      </w:pPr>
      <w:r>
        <w:rPr>
          <w:rFonts w:ascii="Arial" w:hAnsi="Arial"/>
          <w:color w:val="000000"/>
          <w:sz w:val="22"/>
        </w:rPr>
        <w:t>This Policy applies to (i) directors, officers, and other employees of the Company and its subsidiaries, and (ii) any other persons, such as consultants, contractors and temporary staff,</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color w:val="000000"/>
          <w:sz w:val="22"/>
        </w:rPr>
        <w:t>who have access to material nonpublic information and are designated by the Company as subject to this Policy (the persons described in clauses (i) and (ii) are collectively called “</w:t>
      </w:r>
      <w:r>
        <w:rPr>
          <w:rFonts w:ascii="Arial" w:hAnsi="Arial"/>
          <w:b/>
          <w:i/>
          <w:color w:val="000000"/>
          <w:sz w:val="22"/>
        </w:rPr>
        <w:t>Insiders</w:t>
      </w:r>
      <w:r>
        <w:rPr>
          <w:rFonts w:ascii="Times New Roman" w:hAnsi="Times New Roman"/>
          <w:color w:val="000000"/>
          <w:sz w:val="20"/>
        </w:rPr>
        <w:t>”</w:t>
      </w:r>
      <w:r>
        <w:rPr>
          <w:rFonts w:ascii="Arial" w:hAnsi="Arial"/>
          <w:color w:val="000000"/>
          <w:sz w:val="22"/>
        </w:rPr>
        <w:t>). Consultants, contractors and temporary staff are not employees of the Company, and nothing in this Policy should be construed to the contrary.</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This Policy also applies to Family Members and Controlled Entities (as such terms are defined below) of Insiders. Insiders are responsible for ensuring that any transaction subject to this Policy engaged in by a Family Member or Controlled Entity complies with this Policy.</w:t>
      </w:r>
    </w:p>
    <w:p>
      <w:pPr>
        <w:pStyle w:val="TextBody"/>
        <w:bidi w:val="0"/>
        <w:spacing w:before="0" w:after="120"/>
        <w:jc w:val="both"/>
        <w:rPr>
          <w:rFonts w:ascii="Times New Roman" w:hAnsi="Times New Roman"/>
          <w:sz w:val="20"/>
        </w:rPr>
      </w:pPr>
      <w:r>
        <w:rPr>
          <w:rFonts w:ascii="Arial" w:hAnsi="Arial"/>
          <w:color w:val="000000"/>
          <w:sz w:val="22"/>
        </w:rPr>
        <w:t>For purposes of this Policy, with respect to any particular Insider, (i) a “</w:t>
      </w:r>
      <w:r>
        <w:rPr>
          <w:rFonts w:ascii="Arial" w:hAnsi="Arial"/>
          <w:b/>
          <w:i/>
          <w:color w:val="000000"/>
          <w:sz w:val="22"/>
        </w:rPr>
        <w:t>Family Member</w:t>
      </w:r>
      <w:r>
        <w:rPr>
          <w:rFonts w:ascii="Times New Roman" w:hAnsi="Times New Roman"/>
          <w:color w:val="000000"/>
          <w:sz w:val="20"/>
        </w:rPr>
        <w:t xml:space="preserve">” </w:t>
      </w:r>
      <w:r>
        <w:rPr>
          <w:rFonts w:ascii="Arial" w:hAnsi="Arial"/>
          <w:color w:val="000000"/>
          <w:sz w:val="22"/>
        </w:rPr>
        <w:t>means (a) any family member (</w:t>
      </w:r>
      <w:r>
        <w:rPr>
          <w:rFonts w:ascii="Arial" w:hAnsi="Arial"/>
          <w:i/>
          <w:color w:val="000000"/>
          <w:sz w:val="22"/>
        </w:rPr>
        <w:t>e.g.</w:t>
      </w:r>
      <w:r>
        <w:rPr>
          <w:rFonts w:ascii="Arial" w:hAnsi="Arial"/>
          <w:color w:val="000000"/>
          <w:sz w:val="22"/>
        </w:rPr>
        <w:t>, spouse, parent, sibling or child) of such Insider who lives in the same household as such Insider and (b) any family member of such Insider who does not live in the same household as such Insider but whose transactions in Company Securities (as defined below) or the securities of Business Partners (as defined below) are directed by such Insider or are subject to such Insider’s influence or control (</w:t>
      </w:r>
      <w:r>
        <w:rPr>
          <w:rFonts w:ascii="Arial" w:hAnsi="Arial"/>
          <w:i/>
          <w:color w:val="000000"/>
          <w:sz w:val="22"/>
        </w:rPr>
        <w:t>e.g.</w:t>
      </w:r>
      <w:r>
        <w:rPr>
          <w:rFonts w:ascii="Arial" w:hAnsi="Arial"/>
          <w:color w:val="000000"/>
          <w:sz w:val="22"/>
        </w:rPr>
        <w:t>, a family member who consults with the Insider before they trade in Company Securities); and (ii) a “</w:t>
      </w:r>
      <w:r>
        <w:rPr>
          <w:rFonts w:ascii="Arial" w:hAnsi="Arial"/>
          <w:b/>
          <w:i/>
          <w:color w:val="000000"/>
          <w:sz w:val="22"/>
        </w:rPr>
        <w:t>Controlled Entity</w:t>
      </w:r>
      <w:r>
        <w:rPr>
          <w:rFonts w:ascii="Times New Roman" w:hAnsi="Times New Roman"/>
          <w:color w:val="000000"/>
          <w:sz w:val="20"/>
        </w:rPr>
        <w:t xml:space="preserve">” </w:t>
      </w:r>
      <w:r>
        <w:rPr>
          <w:rFonts w:ascii="Arial" w:hAnsi="Arial"/>
          <w:color w:val="000000"/>
          <w:sz w:val="22"/>
        </w:rPr>
        <w:t>means any entity that such Insider controls or whose transactions in securities are subject to such Insider’s influence or control.</w:t>
      </w:r>
    </w:p>
    <w:p>
      <w:pPr>
        <w:pStyle w:val="TextBody"/>
        <w:bidi w:val="0"/>
        <w:spacing w:before="0" w:after="120"/>
        <w:jc w:val="both"/>
        <w:rPr>
          <w:rFonts w:ascii="Arial" w:hAnsi="Arial"/>
          <w:b/>
          <w:i/>
          <w:color w:val="000000"/>
          <w:sz w:val="22"/>
        </w:rPr>
      </w:pPr>
      <w:r>
        <w:rPr>
          <w:rFonts w:ascii="Arial" w:hAnsi="Arial"/>
          <w:b/>
          <w:i/>
          <w:color w:val="000000"/>
          <w:sz w:val="22"/>
        </w:rPr>
        <w:t>What transactions are covered by this Policy?</w:t>
      </w:r>
    </w:p>
    <w:p>
      <w:pPr>
        <w:pStyle w:val="TextBody"/>
        <w:bidi w:val="0"/>
        <w:spacing w:before="0" w:after="120"/>
        <w:jc w:val="both"/>
        <w:rPr>
          <w:rFonts w:ascii="Arial" w:hAnsi="Arial"/>
          <w:i/>
          <w:color w:val="000000"/>
          <w:sz w:val="22"/>
        </w:rPr>
      </w:pPr>
      <w:r>
        <w:rPr>
          <w:rFonts w:ascii="Arial" w:hAnsi="Arial"/>
          <w:i/>
          <w:color w:val="000000"/>
          <w:sz w:val="22"/>
        </w:rPr>
        <w:t>Transactions in Company Securities.</w:t>
      </w:r>
    </w:p>
    <w:p>
      <w:pPr>
        <w:pStyle w:val="TextBody"/>
        <w:bidi w:val="0"/>
        <w:spacing w:before="0" w:after="120"/>
        <w:jc w:val="both"/>
        <w:rPr>
          <w:rFonts w:ascii="Times New Roman" w:hAnsi="Times New Roman"/>
          <w:sz w:val="20"/>
        </w:rPr>
      </w:pPr>
      <w:r>
        <w:rPr>
          <w:rFonts w:ascii="Arial" w:hAnsi="Arial"/>
          <w:color w:val="000000"/>
          <w:sz w:val="22"/>
        </w:rPr>
        <w:t>Except for Exempt Transactions (as defined below), this Policy applies to all transactions in Company Securities, as well as to derivative securities relating to the Company Securities, whether or not issued by the Company (</w:t>
      </w:r>
      <w:r>
        <w:rPr>
          <w:rFonts w:ascii="Arial" w:hAnsi="Arial"/>
          <w:i/>
          <w:color w:val="000000"/>
          <w:sz w:val="22"/>
        </w:rPr>
        <w:t>e.g.</w:t>
      </w:r>
      <w:r>
        <w:rPr>
          <w:rFonts w:ascii="Arial" w:hAnsi="Arial"/>
          <w:color w:val="000000"/>
          <w:sz w:val="22"/>
        </w:rPr>
        <w:t>, exchange-traded put and call options).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2"/>
        </w:rPr>
        <w:t>For purposes of this Policy, “</w:t>
      </w:r>
      <w:r>
        <w:rPr>
          <w:rFonts w:ascii="Arial" w:hAnsi="Arial"/>
          <w:b/>
          <w:i/>
          <w:color w:val="000000"/>
          <w:sz w:val="22"/>
        </w:rPr>
        <w:t>Company Securities</w:t>
      </w:r>
      <w:r>
        <w:rPr>
          <w:rFonts w:ascii="Times New Roman" w:hAnsi="Times New Roman"/>
          <w:color w:val="000000"/>
          <w:sz w:val="20"/>
        </w:rPr>
        <w:t xml:space="preserve">” </w:t>
      </w:r>
      <w:r>
        <w:rPr>
          <w:rFonts w:ascii="Arial" w:hAnsi="Arial"/>
          <w:color w:val="000000"/>
          <w:sz w:val="22"/>
        </w:rPr>
        <w:t>means any securities issued by the Company, including, but not limited to, common shares, preferred shares, securities convertible into or exercisable or exchangeable for securities issued by the Company (</w:t>
      </w:r>
      <w:r>
        <w:rPr>
          <w:rFonts w:ascii="Arial" w:hAnsi="Arial"/>
          <w:i/>
          <w:color w:val="000000"/>
          <w:sz w:val="22"/>
        </w:rPr>
        <w:t>e.g.</w:t>
      </w:r>
      <w:r>
        <w:rPr>
          <w:rFonts w:ascii="Arial" w:hAnsi="Arial"/>
          <w:color w:val="000000"/>
          <w:sz w:val="22"/>
        </w:rPr>
        <w:t>, put and call options, convertible debentures, warrants), stock options and other equity-based awards, and debt securities (</w:t>
      </w:r>
      <w:r>
        <w:rPr>
          <w:rFonts w:ascii="Arial" w:hAnsi="Arial"/>
          <w:i/>
          <w:color w:val="000000"/>
          <w:sz w:val="22"/>
        </w:rPr>
        <w:t>e.g.</w:t>
      </w:r>
      <w:r>
        <w:rPr>
          <w:rFonts w:ascii="Arial" w:hAnsi="Arial"/>
          <w:color w:val="000000"/>
          <w:sz w:val="22"/>
        </w:rPr>
        <w:t>, debentures, bonds and notes).</w:t>
      </w:r>
    </w:p>
    <w:p>
      <w:pPr>
        <w:pStyle w:val="TextBody"/>
        <w:bidi w:val="0"/>
        <w:spacing w:before="0" w:after="120"/>
        <w:jc w:val="both"/>
        <w:rPr>
          <w:rFonts w:ascii="Arial" w:hAnsi="Arial"/>
          <w:i/>
          <w:color w:val="000000"/>
          <w:sz w:val="22"/>
        </w:rPr>
      </w:pPr>
      <w:r>
        <w:rPr>
          <w:rFonts w:ascii="Arial" w:hAnsi="Arial"/>
          <w:i/>
          <w:color w:val="000000"/>
          <w:sz w:val="22"/>
        </w:rPr>
        <w:t>Transactions in Other Companies’ Securities.</w:t>
      </w:r>
    </w:p>
    <w:p>
      <w:pPr>
        <w:pStyle w:val="TextBody"/>
        <w:bidi w:val="0"/>
        <w:spacing w:before="0" w:after="120"/>
        <w:jc w:val="both"/>
        <w:rPr>
          <w:rFonts w:ascii="Times New Roman" w:hAnsi="Times New Roman"/>
          <w:sz w:val="20"/>
        </w:rPr>
      </w:pPr>
      <w:r>
        <w:rPr>
          <w:rFonts w:ascii="Arial" w:hAnsi="Arial"/>
          <w:color w:val="000000"/>
          <w:sz w:val="22"/>
        </w:rPr>
        <w:t>This Policy also generally applies to transactions in securities of publicly traded companies (1) with which the Company does business, such as the Company’s collaborators, partners, customers, vendors or suppliers and/or (2) that are involved in a potential transaction or business relationship with the Company (collectively, “</w:t>
      </w:r>
      <w:r>
        <w:rPr>
          <w:rFonts w:ascii="Arial" w:hAnsi="Arial"/>
          <w:b/>
          <w:i/>
          <w:color w:val="000000"/>
          <w:sz w:val="22"/>
        </w:rPr>
        <w:t>Business Partners</w:t>
      </w:r>
      <w:r>
        <w:rPr>
          <w:rFonts w:ascii="Times New Roman" w:hAnsi="Times New Roman"/>
          <w:color w:val="000000"/>
          <w:sz w:val="20"/>
        </w:rPr>
        <w:t>”</w:t>
      </w:r>
      <w:r>
        <w:rPr>
          <w:rFonts w:ascii="Arial" w:hAnsi="Arial"/>
          <w:color w:val="000000"/>
          <w:sz w:val="22"/>
        </w:rPr>
        <w:t>), in each case, when the Insider becomes aware of material nonpublic information about the Business Partner in the course of employment with, or the performance of services on behalf of, the Company. All Insiders should treat material nonpublic information about Business Partners with the same care required regarding information related directly to the Company. Keep in mind that information that is not material to the Company may nevertheless be material to a Business Partner.</w:t>
      </w:r>
    </w:p>
    <w:p>
      <w:pPr>
        <w:pStyle w:val="TextBody"/>
        <w:bidi w:val="0"/>
        <w:spacing w:before="0" w:after="120"/>
        <w:jc w:val="both"/>
        <w:rPr>
          <w:rFonts w:ascii="Times New Roman" w:hAnsi="Times New Roman"/>
          <w:sz w:val="20"/>
        </w:rPr>
      </w:pPr>
      <w:r>
        <w:rPr>
          <w:rFonts w:ascii="Arial" w:hAnsi="Arial"/>
          <w:i/>
          <w:color w:val="000000"/>
          <w:sz w:val="22"/>
        </w:rPr>
        <w:t>Transactions After Termination of Insider Status.</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If you are aware of material nonpublic information at the time your status as an Insider terminates, notwithstanding the termination of Insider status, this Policy will continue to apply to your transactions until such information becomes public or no longer material.</w:t>
      </w:r>
    </w:p>
    <w:p>
      <w:pPr>
        <w:pStyle w:val="TextBody"/>
        <w:bidi w:val="0"/>
        <w:spacing w:before="0" w:after="120"/>
        <w:jc w:val="both"/>
        <w:rPr>
          <w:rFonts w:ascii="Times New Roman" w:hAnsi="Times New Roman"/>
          <w:sz w:val="20"/>
        </w:rPr>
      </w:pPr>
      <w:r>
        <w:rPr>
          <w:rFonts w:ascii="Arial" w:hAnsi="Arial"/>
          <w:b/>
          <w:i/>
          <w:color w:val="000000"/>
          <w:sz w:val="22"/>
        </w:rPr>
        <w:t xml:space="preserve">What transactions are </w:t>
      </w:r>
      <w:r>
        <w:rPr>
          <w:rFonts w:ascii="Arial" w:hAnsi="Arial"/>
          <w:b/>
          <w:i/>
          <w:color w:val="000000"/>
          <w:sz w:val="22"/>
          <w:u w:val="single"/>
        </w:rPr>
        <w:t>not</w:t>
      </w:r>
      <w:r>
        <w:rPr>
          <w:rFonts w:ascii="Times New Roman" w:hAnsi="Times New Roman"/>
          <w:color w:val="000000"/>
          <w:sz w:val="20"/>
        </w:rPr>
        <w:t xml:space="preserve"> </w:t>
      </w:r>
      <w:r>
        <w:rPr>
          <w:rFonts w:ascii="Arial" w:hAnsi="Arial"/>
          <w:b/>
          <w:i/>
          <w:color w:val="000000"/>
          <w:sz w:val="22"/>
        </w:rPr>
        <w:t>covered by this Policy?</w:t>
      </w:r>
    </w:p>
    <w:p>
      <w:pPr>
        <w:pStyle w:val="TextBody"/>
        <w:bidi w:val="0"/>
        <w:spacing w:before="0" w:after="120"/>
        <w:jc w:val="both"/>
        <w:rPr>
          <w:rFonts w:ascii="Times New Roman" w:hAnsi="Times New Roman"/>
          <w:sz w:val="20"/>
        </w:rPr>
      </w:pPr>
      <w:r>
        <w:rPr>
          <w:rFonts w:ascii="Arial" w:hAnsi="Arial"/>
          <w:color w:val="000000"/>
          <w:sz w:val="22"/>
        </w:rPr>
        <w:t>Notwithstanding anything to the contrary in this Policy, this Policy’s trading restrictions do not apply to (collectively, “</w:t>
      </w:r>
      <w:r>
        <w:rPr>
          <w:rFonts w:ascii="Arial" w:hAnsi="Arial"/>
          <w:b/>
          <w:i/>
          <w:color w:val="000000"/>
          <w:sz w:val="22"/>
        </w:rPr>
        <w:t>Exempt</w:t>
      </w:r>
      <w:r>
        <w:rPr>
          <w:rFonts w:ascii="Times New Roman" w:hAnsi="Times New Roman"/>
          <w:color w:val="000000"/>
          <w:sz w:val="20"/>
        </w:rPr>
        <w:t xml:space="preserve"> </w:t>
      </w:r>
      <w:r>
        <w:rPr>
          <w:rFonts w:ascii="Arial" w:hAnsi="Arial"/>
          <w:b/>
          <w:i/>
          <w:color w:val="000000"/>
          <w:sz w:val="22"/>
        </w:rPr>
        <w:t>Transactions</w:t>
      </w:r>
      <w:r>
        <w:rPr>
          <w:rFonts w:ascii="Times New Roman" w:hAnsi="Times New Roman"/>
          <w:color w:val="000000"/>
          <w:sz w:val="20"/>
        </w:rPr>
        <w:t>”</w:t>
      </w:r>
      <w:r>
        <w:rPr>
          <w:rFonts w:ascii="Arial" w:hAnsi="Arial"/>
          <w:color w:val="000000"/>
          <w:sz w:val="22"/>
        </w:rPr>
        <w:t>):</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the purchase of Company Securities from the Company;</w:t>
      </w:r>
    </w:p>
    <w:p>
      <w:pPr>
        <w:pStyle w:val="TextBody"/>
        <w:bidi w:val="0"/>
        <w:jc w:val="center"/>
        <w:rPr>
          <w:rFonts w:ascii="Arial" w:hAnsi="Arial"/>
          <w:color w:val="000000"/>
          <w:sz w:val="22"/>
        </w:rPr>
      </w:pPr>
      <w:r>
        <w:rPr>
          <w:rFonts w:ascii="Arial" w:hAnsi="Arial"/>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the sale of Company Securities to the Company;</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the purchase and sale of broadly diversified indexes, mutual funds, similar professionally managed “commingled pools” or exchange-traded funds that invest in Company Securities in addition to securities of other companies, or derivative securities whose prices are based on those indexes or funds;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the exercise of a stock option awarded by the Company under one of its equity incentive plans; provided that no shares of the Company are sold in the market to fund the exercise price of such stock option or to satisfy any tax withholding obligation (the “cashless exercise” of a Company stock option through a broker involves the sale of shares of the Company in the market, and therefore would not qualify under this exception); provided, further, that, for the avoidance of doubt, this Policy does apply to subsequent transactions in the shares of the Company’s stock issued upon exercise of a stock option;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the surrender of shares of the Company to satisfy any tax withholding obligation in a manner permitted by the applicable equity award agreement; provided that no shares of the Company are sold in the market in connection therewith;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2"/>
        </w:rPr>
        <w:t>transactions executed under a Rule 10b5-1 trading program that (i) is entered into at a time when not in possession of material nonpublic information concerning the Company, (ii) complies with Rule 10b5-1 (“</w:t>
      </w:r>
      <w:r>
        <w:rPr>
          <w:rFonts w:ascii="Arial" w:hAnsi="Arial"/>
          <w:b/>
          <w:i/>
          <w:color w:val="000000"/>
          <w:sz w:val="22"/>
        </w:rPr>
        <w:t>Rule 10b5-1</w:t>
      </w:r>
      <w:r>
        <w:rPr>
          <w:color w:val="000000"/>
        </w:rPr>
        <w:t>”</w:t>
      </w:r>
      <w:r>
        <w:rPr>
          <w:rFonts w:ascii="Arial" w:hAnsi="Arial"/>
          <w:color w:val="000000"/>
          <w:sz w:val="22"/>
        </w:rPr>
        <w:t>) promulgated under the Securities Exchange Act of 1934, as amended (the “</w:t>
      </w:r>
      <w:r>
        <w:rPr>
          <w:rFonts w:ascii="Arial" w:hAnsi="Arial"/>
          <w:b/>
          <w:i/>
          <w:color w:val="000000"/>
          <w:sz w:val="22"/>
        </w:rPr>
        <w:t>Exchange Act</w:t>
      </w:r>
      <w:r>
        <w:rPr>
          <w:color w:val="000000"/>
        </w:rPr>
        <w:t>”</w:t>
      </w:r>
      <w:r>
        <w:rPr>
          <w:rFonts w:ascii="Arial" w:hAnsi="Arial"/>
          <w:color w:val="000000"/>
          <w:sz w:val="22"/>
        </w:rPr>
        <w:t xml:space="preserve">), or any successor rule, (iii) meets the Company’s Rule 10b5-1 trading program requirements (attached as </w:t>
      </w:r>
      <w:r>
        <w:rPr>
          <w:rFonts w:ascii="Arial" w:hAnsi="Arial"/>
          <w:color w:val="000000"/>
          <w:sz w:val="22"/>
          <w:u w:val="single"/>
        </w:rPr>
        <w:t>Exhibit A</w:t>
      </w:r>
      <w:r>
        <w:rPr>
          <w:rFonts w:ascii="Arial" w:hAnsi="Arial"/>
          <w:color w:val="000000"/>
          <w:sz w:val="22"/>
        </w:rPr>
        <w:t>), and (iv) has been approved in advance, in writing, by the Compliance Officer; or</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purchases of Company Securities in the Company’s 401(k) plan, if any, resulting from an Insider’s periodic contribution of money to the plan pursuant to the Insider’s payroll deduction election; provided, however, that this Policy’s trading restrictions do apply to elections an Insider may make under the 401(k) plan to: (i) increase or decrease the percentage of the Insider’s periodic contributions that will be allocated to the Company stock fund; (ii) make an intra-plan transfer of an existing account balance into or out of the Company stock fund; (iii) borrow money against the Insider’s 401(k) plan account if the loan will result in a liquidation of some or all of the Insider’s Company stock fund balance; and (iv) pre-pay a 401(k) plan loan if the pre-payment will result in allocation of loan proceeds to the Company stock fund.</w:t>
      </w:r>
    </w:p>
    <w:p>
      <w:pPr>
        <w:pStyle w:val="TextBody"/>
        <w:bidi w:val="0"/>
        <w:spacing w:before="120" w:after="120"/>
        <w:jc w:val="center"/>
        <w:rPr>
          <w:rFonts w:ascii="Arial" w:hAnsi="Arial"/>
          <w:b/>
          <w:color w:val="000000"/>
          <w:sz w:val="22"/>
        </w:rPr>
      </w:pPr>
      <w:r>
        <w:rPr>
          <w:rFonts w:ascii="Arial" w:hAnsi="Arial"/>
          <w:b/>
          <w:color w:val="000000"/>
          <w:sz w:val="22"/>
        </w:rPr>
        <w:t>STATEMENT OF POLICY</w:t>
      </w:r>
    </w:p>
    <w:p>
      <w:pPr>
        <w:pStyle w:val="TextBody"/>
        <w:bidi w:val="0"/>
        <w:spacing w:before="0" w:after="120"/>
        <w:jc w:val="both"/>
        <w:rPr>
          <w:rFonts w:ascii="Arial" w:hAnsi="Arial"/>
          <w:b/>
          <w:i/>
          <w:color w:val="000000"/>
          <w:sz w:val="22"/>
        </w:rPr>
      </w:pPr>
      <w:r>
        <w:rPr>
          <w:rFonts w:ascii="Arial" w:hAnsi="Arial"/>
          <w:b/>
          <w:i/>
          <w:color w:val="000000"/>
          <w:sz w:val="22"/>
        </w:rPr>
        <w:t>What is the Company’s general policy on insider trading and disclosure of nonpublic information?</w:t>
      </w:r>
    </w:p>
    <w:p>
      <w:pPr>
        <w:pStyle w:val="TextBody"/>
        <w:bidi w:val="0"/>
        <w:spacing w:before="0" w:after="120"/>
        <w:jc w:val="both"/>
        <w:rPr>
          <w:rFonts w:ascii="Arial" w:hAnsi="Arial"/>
          <w:color w:val="000000"/>
          <w:sz w:val="22"/>
        </w:rPr>
      </w:pPr>
      <w:r>
        <w:rPr>
          <w:rFonts w:ascii="Arial" w:hAnsi="Arial"/>
          <w:color w:val="000000"/>
          <w:sz w:val="22"/>
        </w:rPr>
        <w:t>The Company opposes the unauthorized disclosure of any nonpublic information by an Insider acquired in the course of employment with, or the performance of services on behalf of, the Company and the misuse of material nonpublic information acquired in the course of employment with, or the performance of services on behalf of, the Company in securities trading.</w:t>
      </w:r>
    </w:p>
    <w:p>
      <w:pPr>
        <w:pStyle w:val="TextBody"/>
        <w:bidi w:val="0"/>
        <w:spacing w:before="0" w:after="120"/>
        <w:jc w:val="both"/>
        <w:rPr>
          <w:rFonts w:ascii="Arial" w:hAnsi="Arial"/>
          <w:b/>
          <w:i/>
          <w:color w:val="000000"/>
          <w:sz w:val="22"/>
        </w:rPr>
      </w:pPr>
      <w:r>
        <w:rPr>
          <w:rFonts w:ascii="Arial" w:hAnsi="Arial"/>
          <w:b/>
          <w:i/>
          <w:color w:val="000000"/>
          <w:sz w:val="22"/>
        </w:rPr>
        <w:t>What policies and procedures am I required to adhere to before trading in securities?</w:t>
      </w:r>
    </w:p>
    <w:p>
      <w:pPr>
        <w:pStyle w:val="TextBody"/>
        <w:bidi w:val="0"/>
        <w:spacing w:before="0" w:after="120"/>
        <w:jc w:val="both"/>
        <w:rPr>
          <w:rFonts w:ascii="Arial" w:hAnsi="Arial"/>
          <w:i/>
          <w:color w:val="000000"/>
          <w:sz w:val="22"/>
        </w:rPr>
      </w:pPr>
      <w:r>
        <w:rPr>
          <w:rFonts w:ascii="Arial" w:hAnsi="Arial"/>
          <w:i/>
          <w:color w:val="000000"/>
          <w:sz w:val="22"/>
        </w:rPr>
        <w:t>Trading on Material Nonpublic Information is Prohibited.</w:t>
      </w:r>
    </w:p>
    <w:p>
      <w:pPr>
        <w:pStyle w:val="TextBody"/>
        <w:bidi w:val="0"/>
        <w:spacing w:before="0" w:after="120"/>
        <w:jc w:val="both"/>
        <w:rPr>
          <w:rFonts w:ascii="Times New Roman" w:hAnsi="Times New Roman"/>
          <w:sz w:val="20"/>
        </w:rPr>
      </w:pPr>
      <w:r>
        <w:rPr>
          <w:rFonts w:ascii="Arial" w:hAnsi="Arial"/>
          <w:color w:val="000000"/>
          <w:sz w:val="22"/>
        </w:rPr>
        <w:t>Insiders may not engage in any transaction involving a purchase or sale of Company Securities, including any offer to purchase or offer to sell, directly or through Family Members or other persons or entities, if they are aware of material nonpublic information relating to the Company</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color w:val="000000"/>
          <w:sz w:val="22"/>
        </w:rPr>
        <w:t xml:space="preserve">(for the avoidance of doubt, the foregoing does not apply to Exempt Transactions). Similarly, Insiders may not trade in the securities of Business Partners if they become aware of material nonpublic information about such Business Partner in the course of employment with, or the performance of services on behalf of, the Company. Such prohibitions against trading remain in effect until such material information is considered public, or at such time as such nonpublic information is no longer material. For purposes of this Policy, as a general rule, information will be considered public at the open of the market on the Trading Day after the first full Trading Day following the widespread public release of the applicable information. For example, if the Company announces nonpublic material information </w:t>
      </w:r>
      <w:r>
        <w:rPr>
          <w:rFonts w:ascii="Arial" w:hAnsi="Arial"/>
          <w:i/>
          <w:color w:val="000000"/>
          <w:sz w:val="22"/>
        </w:rPr>
        <w:t>before</w:t>
      </w:r>
      <w:r>
        <w:rPr>
          <w:rFonts w:ascii="Times New Roman" w:hAnsi="Times New Roman"/>
          <w:color w:val="000000"/>
          <w:sz w:val="20"/>
        </w:rPr>
        <w:t xml:space="preserve"> </w:t>
      </w:r>
      <w:r>
        <w:rPr>
          <w:rFonts w:ascii="Arial" w:hAnsi="Arial"/>
          <w:color w:val="000000"/>
          <w:sz w:val="22"/>
        </w:rPr>
        <w:t xml:space="preserve">9:30 a.m. Eastern Time on Tuesday, such information will be considered public at 9:30 a.m. Eastern Time on Wednesday, assuming Tuesday is a full Trading Day. However, if the Company announces material nonpublic information </w:t>
      </w:r>
      <w:r>
        <w:rPr>
          <w:rFonts w:ascii="Arial" w:hAnsi="Arial"/>
          <w:i/>
          <w:color w:val="000000"/>
          <w:sz w:val="22"/>
        </w:rPr>
        <w:t xml:space="preserve">during </w:t>
      </w:r>
      <w:r>
        <w:rPr>
          <w:rFonts w:ascii="Arial" w:hAnsi="Arial"/>
          <w:color w:val="000000"/>
          <w:sz w:val="22"/>
        </w:rPr>
        <w:t>the market on Tuesday</w:t>
      </w:r>
      <w:r>
        <w:rPr>
          <w:rFonts w:ascii="Times New Roman" w:hAnsi="Times New Roman"/>
          <w:color w:val="000000"/>
          <w:sz w:val="20"/>
        </w:rPr>
        <w:t xml:space="preserve"> </w:t>
      </w:r>
      <w:r>
        <w:rPr>
          <w:rFonts w:ascii="Arial" w:hAnsi="Arial"/>
          <w:i/>
          <w:color w:val="000000"/>
          <w:sz w:val="22"/>
        </w:rPr>
        <w:t>or</w:t>
      </w:r>
      <w:r>
        <w:rPr>
          <w:rFonts w:ascii="Times New Roman" w:hAnsi="Times New Roman"/>
          <w:color w:val="000000"/>
          <w:sz w:val="20"/>
        </w:rPr>
        <w:t xml:space="preserve"> </w:t>
      </w:r>
      <w:r>
        <w:rPr>
          <w:rFonts w:ascii="Arial" w:hAnsi="Arial"/>
          <w:i/>
          <w:color w:val="000000"/>
          <w:sz w:val="22"/>
        </w:rPr>
        <w:t>after</w:t>
      </w:r>
      <w:r>
        <w:rPr>
          <w:rFonts w:ascii="Times New Roman" w:hAnsi="Times New Roman"/>
          <w:color w:val="000000"/>
          <w:sz w:val="20"/>
        </w:rPr>
        <w:t xml:space="preserve"> </w:t>
      </w:r>
      <w:r>
        <w:rPr>
          <w:rFonts w:ascii="Arial" w:hAnsi="Arial"/>
          <w:color w:val="000000"/>
          <w:sz w:val="22"/>
        </w:rPr>
        <w:t>the market closes on Tuesday, such information will be considered public at 9:30 a.m. Eastern Time on Thursday, assuming Wednesday is a full Trading Day. A “</w:t>
      </w:r>
      <w:r>
        <w:rPr>
          <w:rFonts w:ascii="Arial" w:hAnsi="Arial"/>
          <w:b/>
          <w:i/>
          <w:color w:val="000000"/>
          <w:sz w:val="22"/>
        </w:rPr>
        <w:t>Trading Day</w:t>
      </w:r>
      <w:r>
        <w:rPr>
          <w:rFonts w:ascii="Times New Roman" w:hAnsi="Times New Roman"/>
          <w:color w:val="000000"/>
          <w:sz w:val="20"/>
        </w:rPr>
        <w:t xml:space="preserve">” </w:t>
      </w:r>
      <w:r>
        <w:rPr>
          <w:rFonts w:ascii="Arial" w:hAnsi="Arial"/>
          <w:color w:val="000000"/>
          <w:sz w:val="22"/>
        </w:rPr>
        <w:t>is a day on which the United States national stock exchange on which the Company’s common stock is primarily listed is open for trading. For the avoidance of doubt, a “full Trading Day” includes a Trading Day on which such stock exchange is scheduled to be open for trading for abbreviated hours.</w:t>
      </w:r>
      <w:r>
        <w:rPr>
          <w:rFonts w:ascii="Times New Roman" w:hAnsi="Times New Roman"/>
          <w:color w:val="000000"/>
          <w:sz w:val="20"/>
        </w:rPr>
        <w:t xml:space="preserve"> </w:t>
      </w:r>
    </w:p>
    <w:p>
      <w:pPr>
        <w:pStyle w:val="TextBody"/>
        <w:bidi w:val="0"/>
        <w:spacing w:before="0" w:after="120"/>
        <w:jc w:val="both"/>
        <w:rPr>
          <w:rFonts w:ascii="Arial" w:hAnsi="Arial"/>
          <w:i/>
          <w:color w:val="000000"/>
          <w:sz w:val="22"/>
        </w:rPr>
      </w:pPr>
      <w:r>
        <w:rPr>
          <w:rFonts w:ascii="Arial" w:hAnsi="Arial"/>
          <w:i/>
          <w:color w:val="000000"/>
          <w:sz w:val="22"/>
        </w:rPr>
        <w:t>Trading Windows; Preclearance; Special Blackout Periods.</w:t>
      </w:r>
    </w:p>
    <w:p>
      <w:pPr>
        <w:pStyle w:val="TextBody"/>
        <w:bidi w:val="0"/>
        <w:spacing w:before="0" w:after="120"/>
        <w:jc w:val="both"/>
        <w:rPr>
          <w:rFonts w:ascii="Times New Roman" w:hAnsi="Times New Roman"/>
          <w:sz w:val="20"/>
        </w:rPr>
      </w:pPr>
      <w:r>
        <w:rPr>
          <w:rFonts w:ascii="Arial" w:hAnsi="Arial"/>
          <w:color w:val="000000"/>
          <w:sz w:val="22"/>
        </w:rPr>
        <w:t>Financial Insiders (as defined below) must not trade in Company Securities other than during a trading window (a “</w:t>
      </w:r>
      <w:r>
        <w:rPr>
          <w:rFonts w:ascii="Arial" w:hAnsi="Arial"/>
          <w:b/>
          <w:i/>
          <w:color w:val="000000"/>
          <w:sz w:val="22"/>
        </w:rPr>
        <w:t>Trading Window</w:t>
      </w:r>
      <w:r>
        <w:rPr>
          <w:rFonts w:ascii="Times New Roman" w:hAnsi="Times New Roman"/>
          <w:color w:val="000000"/>
          <w:sz w:val="20"/>
        </w:rPr>
        <w:t>”</w:t>
      </w:r>
      <w:r>
        <w:rPr>
          <w:rFonts w:ascii="Arial" w:hAnsi="Arial"/>
          <w:color w:val="000000"/>
          <w:sz w:val="22"/>
        </w:rPr>
        <w:t xml:space="preserve">). The Compliance Officer will determine when a Trading Window begins and when it ends. However, Trading Windows will generally begin at the open of the market on the Trading Day after the first full Trading Day following the widespread public release of the Company’s financial results for the prior fiscal quarter or year and ends on the last Trading Day of the fiscal quarter. For example, if the Company broadly disseminates a press release announcing its quarterly or annual financial results </w:t>
      </w:r>
      <w:r>
        <w:rPr>
          <w:rFonts w:ascii="Arial" w:hAnsi="Arial"/>
          <w:i/>
          <w:color w:val="000000"/>
          <w:sz w:val="22"/>
        </w:rPr>
        <w:t>before</w:t>
      </w:r>
      <w:r>
        <w:rPr>
          <w:rFonts w:ascii="Times New Roman" w:hAnsi="Times New Roman"/>
          <w:color w:val="000000"/>
          <w:sz w:val="20"/>
        </w:rPr>
        <w:t xml:space="preserve"> </w:t>
      </w:r>
      <w:r>
        <w:rPr>
          <w:rFonts w:ascii="Arial" w:hAnsi="Arial"/>
          <w:color w:val="000000"/>
          <w:sz w:val="22"/>
        </w:rPr>
        <w:t xml:space="preserve">9:30 a.m. Eastern Time on Tuesday, the Trading Window would begin at 9:30 a.m. Eastern Time on Wednesday, assuming Tuesday is a full Trading Day. However, if the Company broadly disseminates such press release </w:t>
      </w:r>
      <w:r>
        <w:rPr>
          <w:rFonts w:ascii="Arial" w:hAnsi="Arial"/>
          <w:i/>
          <w:color w:val="000000"/>
          <w:sz w:val="22"/>
        </w:rPr>
        <w:t xml:space="preserve">during </w:t>
      </w:r>
      <w:r>
        <w:rPr>
          <w:rFonts w:ascii="Arial" w:hAnsi="Arial"/>
          <w:color w:val="000000"/>
          <w:sz w:val="22"/>
        </w:rPr>
        <w:t xml:space="preserve">the market on Tuesday </w:t>
      </w:r>
      <w:r>
        <w:rPr>
          <w:rFonts w:ascii="Arial" w:hAnsi="Arial"/>
          <w:i/>
          <w:color w:val="000000"/>
          <w:sz w:val="22"/>
        </w:rPr>
        <w:t>or</w:t>
      </w:r>
      <w:r>
        <w:rPr>
          <w:rFonts w:ascii="Times New Roman" w:hAnsi="Times New Roman"/>
          <w:color w:val="000000"/>
          <w:sz w:val="20"/>
        </w:rPr>
        <w:t xml:space="preserve"> </w:t>
      </w:r>
      <w:r>
        <w:rPr>
          <w:rFonts w:ascii="Arial" w:hAnsi="Arial"/>
          <w:i/>
          <w:color w:val="000000"/>
          <w:sz w:val="22"/>
        </w:rPr>
        <w:t>after</w:t>
      </w:r>
      <w:r>
        <w:rPr>
          <w:rFonts w:ascii="Times New Roman" w:hAnsi="Times New Roman"/>
          <w:color w:val="000000"/>
          <w:sz w:val="20"/>
        </w:rPr>
        <w:t xml:space="preserve"> </w:t>
      </w:r>
      <w:r>
        <w:rPr>
          <w:rFonts w:ascii="Arial" w:hAnsi="Arial"/>
          <w:color w:val="000000"/>
          <w:sz w:val="22"/>
        </w:rPr>
        <w:t>the market closes on Tuesday, the Trading Window would begin at 9:30 a.m. Eastern Time on Thursday, assuming Wednesday is a full Trading Day.</w:t>
      </w:r>
    </w:p>
    <w:p>
      <w:pPr>
        <w:pStyle w:val="TextBody"/>
        <w:bidi w:val="0"/>
        <w:spacing w:before="0" w:after="120"/>
        <w:jc w:val="both"/>
        <w:rPr>
          <w:rFonts w:ascii="Times New Roman" w:hAnsi="Times New Roman"/>
          <w:sz w:val="20"/>
        </w:rPr>
      </w:pPr>
      <w:r>
        <w:rPr>
          <w:rFonts w:ascii="Arial" w:hAnsi="Arial"/>
          <w:color w:val="000000"/>
          <w:sz w:val="22"/>
        </w:rPr>
        <w:t>For purposes of this Policy, “</w:t>
      </w:r>
      <w:r>
        <w:rPr>
          <w:rFonts w:ascii="Arial" w:hAnsi="Arial"/>
          <w:b/>
          <w:i/>
          <w:color w:val="000000"/>
          <w:sz w:val="22"/>
        </w:rPr>
        <w:t xml:space="preserve">Financial Insiders” </w:t>
      </w:r>
      <w:r>
        <w:rPr>
          <w:rFonts w:ascii="Arial" w:hAnsi="Arial"/>
          <w:color w:val="000000"/>
          <w:sz w:val="22"/>
        </w:rPr>
        <w:t>means all (i) members of the Board, (ii) officers of the Company, (iii) persons who directly report to the Company’s Chief Executive Officer, (iv) persons in a manager position or above in the Finance Department, and (v) all other persons that may be designated by the Compliance Officer from time to time.</w:t>
      </w:r>
    </w:p>
    <w:p>
      <w:pPr>
        <w:pStyle w:val="TextBody"/>
        <w:bidi w:val="0"/>
        <w:spacing w:before="0" w:after="120"/>
        <w:jc w:val="both"/>
        <w:rPr>
          <w:rFonts w:ascii="Arial" w:hAnsi="Arial"/>
          <w:color w:val="000000"/>
          <w:sz w:val="22"/>
        </w:rPr>
      </w:pPr>
      <w:r>
        <w:rPr>
          <w:rFonts w:ascii="Arial" w:hAnsi="Arial"/>
          <w:color w:val="000000"/>
          <w:sz w:val="22"/>
        </w:rPr>
        <w:t>Even during a Trading Window, Financial Insiders, as well as the Family Members and Controlled Entities of Financial Insiders, must obtain written preclearance from the Compliance Officer of any proposed transactions to which this Policy’s restrictions apply prior to commencing any transaction, including in derivative securities not issued by the Company but that relate to Company Securities. The Compliance Officer is under no obligation to approve a transaction submitted for preclearance and may determine not to permit the transaction. When making a request for preclearance, the requestor should carefully consider whether they may be aware of any material nonpublic information relating to the Company and must fully describe the applicable facts and circumstances to the Compliance Officer.</w:t>
      </w:r>
    </w:p>
    <w:p>
      <w:pPr>
        <w:pStyle w:val="TextBody"/>
        <w:bidi w:val="0"/>
        <w:spacing w:before="0" w:after="120"/>
        <w:jc w:val="both"/>
        <w:rPr>
          <w:rFonts w:ascii="Times New Roman" w:hAnsi="Times New Roman"/>
          <w:sz w:val="20"/>
        </w:rPr>
      </w:pPr>
      <w:r>
        <w:rPr>
          <w:rFonts w:ascii="Arial" w:hAnsi="Arial"/>
          <w:color w:val="000000"/>
          <w:sz w:val="22"/>
        </w:rPr>
        <w:t>The Company may from time to time prohibit Financial Insiders and other Insiders from trading during a Trading Window because of material nonpublic information known to the Company and not yet disclosed to the public. These event and circumstances-specific prohibitions are called “</w:t>
      </w:r>
      <w:r>
        <w:rPr>
          <w:rFonts w:ascii="Arial" w:hAnsi="Arial"/>
          <w:b/>
          <w:color w:val="000000"/>
          <w:sz w:val="22"/>
        </w:rPr>
        <w:t>special blackout periods</w:t>
      </w:r>
      <w:r>
        <w:rPr>
          <w:rFonts w:ascii="Arial" w:hAnsi="Arial"/>
          <w:color w:val="000000"/>
          <w:sz w:val="22"/>
        </w:rPr>
        <w:t>.” The Company will notify you in writing, including via email, if a special blackout period applies to you. If a special blackout period applies to you, you must not trade until you are informed by the Compliance Officer that the special blackout period has ended. The existence of a special blackout period may not be announced to all Insiders and you should</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color w:val="000000"/>
          <w:sz w:val="22"/>
        </w:rPr>
        <w:t>not communicate the existence of a special blackout period to any other person, except to the extent necessary to ensure your Family Members and Controlled Entities likewise do not trade during the special blackout period. Exceptions to the Policy’s restrictions will not be granted during special blackout periods. Even if the Company has not designated you as a person to whom a special blackout period applies, you should not trade if you are aware of material nonpublic information because you are responsible at all times for not engaging in illegal insider trading.</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Trading in the Company’s securities during a Trading Window or in accordance with a preclearance under this Policy is not considered a “safe harbor,” and you should use good judgment at all times to ensure you are not trading on the basis of material nonpublic information in violation of securities laws or this Policy.</w:t>
      </w:r>
    </w:p>
    <w:p>
      <w:pPr>
        <w:pStyle w:val="TextBody"/>
        <w:bidi w:val="0"/>
        <w:spacing w:before="0" w:after="120"/>
        <w:jc w:val="both"/>
        <w:rPr>
          <w:rFonts w:ascii="Arial" w:hAnsi="Arial"/>
          <w:i/>
          <w:color w:val="000000"/>
          <w:sz w:val="22"/>
        </w:rPr>
      </w:pPr>
      <w:r>
        <w:rPr>
          <w:rFonts w:ascii="Arial" w:hAnsi="Arial"/>
          <w:i/>
          <w:color w:val="000000"/>
          <w:sz w:val="22"/>
        </w:rPr>
        <w:t>No Exception for Hardship.</w:t>
      </w:r>
    </w:p>
    <w:p>
      <w:pPr>
        <w:pStyle w:val="TextBody"/>
        <w:bidi w:val="0"/>
        <w:spacing w:before="0" w:after="120"/>
        <w:jc w:val="both"/>
        <w:rPr>
          <w:rFonts w:ascii="Arial" w:hAnsi="Arial"/>
          <w:color w:val="000000"/>
          <w:sz w:val="22"/>
        </w:rPr>
      </w:pPr>
      <w:r>
        <w:rPr>
          <w:rFonts w:ascii="Arial" w:hAnsi="Arial"/>
          <w:color w:val="000000"/>
          <w:sz w:val="22"/>
        </w:rPr>
        <w:t>An Insider may, from time to time, have to forego a proposed transaction even if he or she planned to make the transaction before learning of the material nonpublic information and even though the Insider believes he or she may suffer an economic loss or forego anticipated profit by waiting. The existence of a personal financial emergency does not excuse you from compliance with applicable securities laws or this Policy.</w:t>
      </w:r>
    </w:p>
    <w:p>
      <w:pPr>
        <w:pStyle w:val="TextBody"/>
        <w:bidi w:val="0"/>
        <w:spacing w:before="0" w:after="120"/>
        <w:jc w:val="both"/>
        <w:rPr>
          <w:rFonts w:ascii="Arial" w:hAnsi="Arial"/>
          <w:b/>
          <w:i/>
          <w:color w:val="000000"/>
          <w:sz w:val="22"/>
        </w:rPr>
      </w:pPr>
      <w:r>
        <w:rPr>
          <w:rFonts w:ascii="Arial" w:hAnsi="Arial"/>
          <w:b/>
          <w:i/>
          <w:color w:val="000000"/>
          <w:sz w:val="22"/>
        </w:rPr>
        <w:t>May I disclose material nonpublic information about the Company or any of its Business Partners to others?</w:t>
      </w:r>
    </w:p>
    <w:p>
      <w:pPr>
        <w:pStyle w:val="TextBody"/>
        <w:bidi w:val="0"/>
        <w:spacing w:before="0" w:after="120"/>
        <w:jc w:val="both"/>
        <w:rPr>
          <w:rFonts w:ascii="Arial" w:hAnsi="Arial"/>
          <w:i/>
          <w:color w:val="000000"/>
          <w:sz w:val="22"/>
        </w:rPr>
      </w:pPr>
      <w:r>
        <w:rPr>
          <w:rFonts w:ascii="Arial" w:hAnsi="Arial"/>
          <w:i/>
          <w:color w:val="000000"/>
          <w:sz w:val="22"/>
        </w:rPr>
        <w:t>Maintaining the Confidentiality of Nonpublic Information.</w:t>
      </w:r>
    </w:p>
    <w:p>
      <w:pPr>
        <w:pStyle w:val="TextBody"/>
        <w:bidi w:val="0"/>
        <w:spacing w:before="0" w:after="120"/>
        <w:jc w:val="both"/>
        <w:rPr>
          <w:rFonts w:ascii="Times New Roman" w:hAnsi="Times New Roman"/>
          <w:sz w:val="20"/>
        </w:rPr>
      </w:pPr>
      <w:r>
        <w:rPr>
          <w:rFonts w:ascii="Arial" w:hAnsi="Arial"/>
          <w:color w:val="000000"/>
          <w:sz w:val="22"/>
        </w:rPr>
        <w:t>Unauthorized disclosure of any confidential information of the Company or its Business Partners is prohibited.</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Maintaining the confidentiality of Company information is essential for competitive, security and other business reasons, as well as to comply with applicable securities laws. You should treat all information you learn about the Company or its business plans in connection with your employment with, or the performance of services on behalf of, the Company as confidential and proprietary to the Company. Inadvertent disclosure of confidential information may expose the Company and you to significant risk of investigation and litigation.</w:t>
      </w:r>
    </w:p>
    <w:p>
      <w:pPr>
        <w:pStyle w:val="TextBody"/>
        <w:bidi w:val="0"/>
        <w:spacing w:before="0" w:after="120"/>
        <w:jc w:val="both"/>
        <w:rPr>
          <w:rFonts w:ascii="Arial" w:hAnsi="Arial"/>
          <w:color w:val="000000"/>
          <w:sz w:val="22"/>
        </w:rPr>
      </w:pPr>
      <w:r>
        <w:rPr>
          <w:rFonts w:ascii="Arial" w:hAnsi="Arial"/>
          <w:color w:val="000000"/>
          <w:sz w:val="22"/>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analysts or others in the financial community be made on the Company’s behalf only through authorized individuals.</w:t>
      </w:r>
    </w:p>
    <w:p>
      <w:pPr>
        <w:pStyle w:val="TextBody"/>
        <w:bidi w:val="0"/>
        <w:spacing w:before="0" w:after="120"/>
        <w:jc w:val="both"/>
        <w:rPr>
          <w:rFonts w:ascii="Arial" w:hAnsi="Arial"/>
          <w:color w:val="000000"/>
          <w:sz w:val="22"/>
        </w:rPr>
      </w:pPr>
      <w:r>
        <w:rPr>
          <w:rFonts w:ascii="Arial" w:hAnsi="Arial"/>
          <w:color w:val="000000"/>
          <w:sz w:val="22"/>
        </w:rPr>
        <w:t>This Policy should not be interpreted to modify any agreement between the Company and an Insider relating to use or protection of confidential information, or the Insider’s obligations relating to confidential information under the Company’s Code of Business Conduct and Ethics or under any other Company policy.</w:t>
      </w:r>
    </w:p>
    <w:p>
      <w:pPr>
        <w:pStyle w:val="TextBody"/>
        <w:bidi w:val="0"/>
        <w:spacing w:before="0" w:after="120"/>
        <w:jc w:val="both"/>
        <w:rPr>
          <w:rFonts w:ascii="Arial" w:hAnsi="Arial"/>
          <w:color w:val="000000"/>
          <w:sz w:val="22"/>
        </w:rPr>
      </w:pPr>
      <w:r>
        <w:rPr>
          <w:rFonts w:ascii="Arial" w:hAnsi="Arial"/>
          <w:color w:val="000000"/>
          <w:sz w:val="22"/>
        </w:rPr>
        <w:t>If you receive inquiries about the Company from analysts, reporters, or others, decline to comment and direct them to the Chief Executive Officer, Chief Financial Officer, or such other persons as the Chief Executive Officer or Chief Financial Officer may designate.</w:t>
      </w:r>
    </w:p>
    <w:p>
      <w:pPr>
        <w:pStyle w:val="TextBody"/>
        <w:bidi w:val="0"/>
        <w:spacing w:before="0" w:after="120"/>
        <w:jc w:val="both"/>
        <w:rPr>
          <w:rFonts w:ascii="Arial" w:hAnsi="Arial"/>
          <w:i/>
          <w:color w:val="000000"/>
          <w:sz w:val="22"/>
        </w:rPr>
      </w:pPr>
      <w:r>
        <w:rPr>
          <w:rFonts w:ascii="Arial" w:hAnsi="Arial"/>
          <w:i/>
          <w:color w:val="000000"/>
          <w:sz w:val="22"/>
        </w:rPr>
        <w:t>Prohibition on “Tipping.”</w:t>
      </w:r>
    </w:p>
    <w:p>
      <w:pPr>
        <w:pStyle w:val="TextBody"/>
        <w:bidi w:val="0"/>
        <w:spacing w:before="0" w:after="120"/>
        <w:jc w:val="both"/>
        <w:rPr>
          <w:rFonts w:ascii="Times New Roman" w:hAnsi="Times New Roman"/>
          <w:sz w:val="20"/>
        </w:rPr>
      </w:pPr>
      <w:r>
        <w:rPr>
          <w:rFonts w:ascii="Arial" w:hAnsi="Arial"/>
          <w:color w:val="000000"/>
          <w:sz w:val="22"/>
        </w:rPr>
        <w:t>Insiders may be liable under securities laws for communicating (or “tipping”) material nonpublic information about the Company or its Business Partners to another person who trades, directly or indirectly, on the information tipped to them. “Tipping” is illegal and prohibited under this Policy. No Insider shall disclose material nonpublic information relating to the Company or a Business Partner to any other person (including, but not limited to, Family Members, friends, business</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Arial" w:hAnsi="Arial"/>
          <w:color w:val="000000"/>
          <w:sz w:val="22"/>
        </w:rPr>
      </w:pPr>
      <w:r>
        <w:rPr>
          <w:rFonts w:ascii="Arial" w:hAnsi="Arial"/>
          <w:color w:val="000000"/>
          <w:sz w:val="22"/>
        </w:rPr>
        <w:t>associates and investors), unless any such disclosure is made in accordance with the Company’s policies regarding the protection or authorized disclosure of nonpublic information. Further, Insiders may not make recommendations or express opinions on the basis of material nonpublic information as to trading in Company Securities or the securities of Business Partners. Even if you are not in possession of material nonpublic information, do not recommend to any other person that they buy or sell securities of the Company. Remember that “tipping” material nonpublic information is always prohibited, and that your recommendation could be imputed to the Company and may be misleading if you do not have all relevant information.</w:t>
      </w:r>
    </w:p>
    <w:p>
      <w:pPr>
        <w:pStyle w:val="TextBody"/>
        <w:bidi w:val="0"/>
        <w:spacing w:before="0" w:after="120"/>
        <w:jc w:val="both"/>
        <w:rPr>
          <w:rFonts w:ascii="Arial" w:hAnsi="Arial"/>
          <w:color w:val="000000"/>
          <w:sz w:val="22"/>
        </w:rPr>
      </w:pPr>
      <w:r>
        <w:rPr>
          <w:rFonts w:ascii="Arial" w:hAnsi="Arial"/>
          <w:color w:val="000000"/>
          <w:sz w:val="22"/>
        </w:rPr>
        <w:t>Do not discuss material nonpublic information where it may be overheard, such as in restaurants, elevators, restrooms, and other public places. Remember that phone conversations are often overheard and that persons other than intended recipients may retrieve voicemails, e-mails, text messages and other electronic communications.</w:t>
      </w:r>
    </w:p>
    <w:p>
      <w:pPr>
        <w:pStyle w:val="TextBody"/>
        <w:bidi w:val="0"/>
        <w:spacing w:before="0" w:after="120"/>
        <w:jc w:val="both"/>
        <w:rPr>
          <w:rFonts w:ascii="Arial" w:hAnsi="Arial"/>
          <w:b/>
          <w:i/>
          <w:color w:val="000000"/>
          <w:sz w:val="22"/>
        </w:rPr>
      </w:pPr>
      <w:r>
        <w:rPr>
          <w:rFonts w:ascii="Arial" w:hAnsi="Arial"/>
          <w:b/>
          <w:i/>
          <w:color w:val="000000"/>
          <w:sz w:val="22"/>
        </w:rPr>
        <w:t>May I trade in Company derivative securities or short sell Company Securities?</w:t>
      </w:r>
    </w:p>
    <w:p>
      <w:pPr>
        <w:pStyle w:val="TextBody"/>
        <w:bidi w:val="0"/>
        <w:spacing w:before="0" w:after="120"/>
        <w:jc w:val="both"/>
        <w:rPr>
          <w:rFonts w:ascii="Arial" w:hAnsi="Arial"/>
          <w:color w:val="000000"/>
          <w:sz w:val="22"/>
        </w:rPr>
      </w:pPr>
      <w:r>
        <w:rPr>
          <w:rFonts w:ascii="Arial" w:hAnsi="Arial"/>
          <w:color w:val="000000"/>
          <w:sz w:val="22"/>
        </w:rPr>
        <w:t>The Company considers it improper and inappropriate for Insiders to engage in short-term or speculative transactions in Company Securities or in other transactions in Company Securities that may lead to inadvertent violations of the insider trading laws. Accordingly, trading in Company Securities is subject to the following restrictions:</w:t>
      </w:r>
    </w:p>
    <w:p>
      <w:pPr>
        <w:pStyle w:val="TextBody"/>
        <w:bidi w:val="0"/>
        <w:spacing w:before="0" w:after="120"/>
        <w:jc w:val="both"/>
        <w:rPr>
          <w:rFonts w:ascii="Times New Roman" w:hAnsi="Times New Roman"/>
          <w:sz w:val="20"/>
        </w:rPr>
      </w:pPr>
      <w:r>
        <w:rPr>
          <w:rFonts w:ascii="Arial" w:hAnsi="Arial"/>
          <w:i/>
          <w:color w:val="000000"/>
          <w:sz w:val="22"/>
        </w:rPr>
        <w:t>Short Sales</w:t>
      </w:r>
      <w:r>
        <w:rPr>
          <w:rFonts w:ascii="Arial" w:hAnsi="Arial"/>
          <w:color w:val="000000"/>
          <w:sz w:val="22"/>
        </w:rPr>
        <w:t>. You may not engage in “short sales” of Company Securities (</w:t>
      </w:r>
      <w:r>
        <w:rPr>
          <w:rFonts w:ascii="Arial" w:hAnsi="Arial"/>
          <w:i/>
          <w:color w:val="000000"/>
          <w:sz w:val="22"/>
        </w:rPr>
        <w:t>i.e.</w:t>
      </w:r>
      <w:r>
        <w:rPr>
          <w:rFonts w:ascii="Arial" w:hAnsi="Arial"/>
          <w:color w:val="000000"/>
          <w:sz w:val="22"/>
        </w:rPr>
        <w:t>, sales of securities that are not then owned), including a “sale against the box” (</w:t>
      </w:r>
      <w:r>
        <w:rPr>
          <w:rFonts w:ascii="Arial" w:hAnsi="Arial"/>
          <w:i/>
          <w:color w:val="000000"/>
          <w:sz w:val="22"/>
        </w:rPr>
        <w:t>i.e.</w:t>
      </w:r>
      <w:r>
        <w:rPr>
          <w:rFonts w:ascii="Arial" w:hAnsi="Arial"/>
          <w:color w:val="000000"/>
          <w:sz w:val="22"/>
        </w:rPr>
        <w:t>, a sale with delayed delivery).</w:t>
      </w:r>
    </w:p>
    <w:p>
      <w:pPr>
        <w:pStyle w:val="TextBody"/>
        <w:bidi w:val="0"/>
        <w:spacing w:before="0" w:after="120"/>
        <w:jc w:val="both"/>
        <w:rPr>
          <w:rFonts w:ascii="Times New Roman" w:hAnsi="Times New Roman"/>
          <w:sz w:val="20"/>
        </w:rPr>
      </w:pPr>
      <w:r>
        <w:rPr>
          <w:rFonts w:ascii="Arial" w:hAnsi="Arial"/>
          <w:i/>
          <w:color w:val="000000"/>
          <w:sz w:val="22"/>
        </w:rPr>
        <w:t>Publicly Traded Options</w:t>
      </w:r>
      <w:r>
        <w:rPr>
          <w:rFonts w:ascii="Arial" w:hAnsi="Arial"/>
          <w:color w:val="000000"/>
          <w:sz w:val="22"/>
        </w:rPr>
        <w:t>. You may not engage in transactions in publicly traded options (</w:t>
      </w:r>
      <w:r>
        <w:rPr>
          <w:rFonts w:ascii="Arial" w:hAnsi="Arial"/>
          <w:i/>
          <w:color w:val="000000"/>
          <w:sz w:val="22"/>
        </w:rPr>
        <w:t>e.g.</w:t>
      </w:r>
      <w:r>
        <w:rPr>
          <w:rFonts w:ascii="Arial" w:hAnsi="Arial"/>
          <w:color w:val="000000"/>
          <w:sz w:val="22"/>
        </w:rPr>
        <w:t>, puts, calls and other derivative securities) on an exchange or in any other organized market on Company Securities.</w:t>
      </w:r>
    </w:p>
    <w:p>
      <w:pPr>
        <w:pStyle w:val="TextBody"/>
        <w:bidi w:val="0"/>
        <w:spacing w:before="0" w:after="120"/>
        <w:jc w:val="both"/>
        <w:rPr>
          <w:rFonts w:ascii="Times New Roman" w:hAnsi="Times New Roman"/>
          <w:sz w:val="20"/>
        </w:rPr>
      </w:pPr>
      <w:r>
        <w:rPr>
          <w:rFonts w:ascii="Arial" w:hAnsi="Arial"/>
          <w:i/>
          <w:color w:val="000000"/>
          <w:sz w:val="22"/>
        </w:rPr>
        <w:t>Standing Orders</w:t>
      </w:r>
      <w:r>
        <w:rPr>
          <w:rFonts w:ascii="Arial" w:hAnsi="Arial"/>
          <w:color w:val="000000"/>
          <w:sz w:val="22"/>
        </w:rPr>
        <w:t>. Standing orders should be used only for a very brief period of time and only during a Trading Window (if applicable). A standing order placed with a broker to sell or purchase securities at a specified price leaves you with no control over the timing of the transaction. A standing order transaction executed by the broker when you are aware of material nonpublic information may result in unlawful insider trading and violation of this Policy. Should you have an open standing order, you must cancel the order prior to the end of the Trading Window or as soon as you become aware of material nonpublic information, including as soon as you become aware of the existence of a special blackout period.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Hedging Transactions</w:t>
      </w:r>
      <w:r>
        <w:rPr>
          <w:rFonts w:ascii="Arial" w:hAnsi="Arial"/>
          <w:color w:val="000000"/>
          <w:sz w:val="22"/>
        </w:rPr>
        <w:t>. You may not engage in any kind of hedging transaction that could reduce or limit your holdings, ownership or interest in or to any Company Securities, including without limitation outstanding stock options, deferred share units, restricted share units, or other compensation awards the value of which are derived from, referenced to or based on the value or market price of securities of the Company. Prohibited transactions include the purchase of financial instruments, including prepaid variable forward contracts, instruments for the short sale or purchase or sale of call or put options, equity swaps, collars, or units of exchangeable funds, that are designed to or that may reasonably be expected to have the effect of hedging or offsetting a decrease in the market value of any securities of the Company. For the avoidance of doubt, this restriction does not apply to the purchase and sale of broadly diversified indexes, mutual funds, similar professionally managed “commingled pools” or exchange-traded funds that invest in Company Securities in addition to securities of other companies, or derivative securities whose prices are based on those indexes or funds.</w:t>
      </w:r>
    </w:p>
    <w:p>
      <w:pPr>
        <w:pStyle w:val="TextBody"/>
        <w:bidi w:val="0"/>
        <w:spacing w:before="0" w:after="120"/>
        <w:jc w:val="both"/>
        <w:rPr>
          <w:rFonts w:ascii="Times New Roman" w:hAnsi="Times New Roman"/>
          <w:sz w:val="20"/>
        </w:rPr>
      </w:pPr>
      <w:r>
        <w:rPr>
          <w:rFonts w:ascii="Arial" w:hAnsi="Arial"/>
          <w:i/>
          <w:color w:val="000000"/>
          <w:sz w:val="22"/>
        </w:rPr>
        <w:t>Margin Accounts and Pledges</w:t>
      </w:r>
      <w:r>
        <w:rPr>
          <w:rFonts w:ascii="Arial" w:hAnsi="Arial"/>
          <w:color w:val="000000"/>
          <w:sz w:val="22"/>
        </w:rPr>
        <w:t>.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sz w:val="20"/>
        </w:rPr>
      </w:pPr>
      <w:r>
        <w:rPr>
          <w:rFonts w:ascii="Arial" w:hAnsi="Arial"/>
          <w:color w:val="000000"/>
          <w:sz w:val="22"/>
        </w:rPr>
        <w:t>trade in Company Securities, you are prohibited from holding Company Securities in a margin account or pledging Company Securities as collateral for a loan.</w:t>
      </w:r>
      <w:r>
        <w:rPr>
          <w:rFonts w:ascii="Times New Roman" w:hAnsi="Times New Roman"/>
          <w:color w:val="000000"/>
          <w:sz w:val="20"/>
        </w:rPr>
        <w:t xml:space="preserve"> </w:t>
      </w:r>
    </w:p>
    <w:p>
      <w:pPr>
        <w:pStyle w:val="TextBody"/>
        <w:bidi w:val="0"/>
        <w:spacing w:before="0" w:after="120"/>
        <w:jc w:val="both"/>
        <w:rPr>
          <w:rFonts w:ascii="Arial" w:hAnsi="Arial"/>
          <w:b/>
          <w:i/>
          <w:color w:val="000000"/>
          <w:sz w:val="22"/>
        </w:rPr>
      </w:pPr>
      <w:r>
        <w:rPr>
          <w:rFonts w:ascii="Arial" w:hAnsi="Arial"/>
          <w:b/>
          <w:i/>
          <w:color w:val="000000"/>
          <w:sz w:val="22"/>
        </w:rPr>
        <w:t>May I pre-establish a time for the purchase or sale of Company Securities at a time that I am not aware of material nonpublic information?</w:t>
      </w:r>
    </w:p>
    <w:p>
      <w:pPr>
        <w:pStyle w:val="TextBody"/>
        <w:bidi w:val="0"/>
        <w:spacing w:before="0" w:after="120"/>
        <w:jc w:val="both"/>
        <w:rPr>
          <w:rFonts w:ascii="Times New Roman" w:hAnsi="Times New Roman"/>
          <w:sz w:val="20"/>
        </w:rPr>
      </w:pPr>
      <w:r>
        <w:rPr>
          <w:rFonts w:ascii="Arial" w:hAnsi="Arial"/>
          <w:color w:val="000000"/>
          <w:sz w:val="22"/>
        </w:rPr>
        <w:t xml:space="preserve">Yes, directors, officers and other employees of the Company may establish written trading programs pursuant to Rule 10b5-1. Any such trading program is subject to the restrictions and limitations in </w:t>
      </w:r>
      <w:r>
        <w:rPr>
          <w:rFonts w:ascii="Arial" w:hAnsi="Arial"/>
          <w:color w:val="000000"/>
          <w:sz w:val="22"/>
          <w:u w:val="single"/>
        </w:rPr>
        <w:t>Exhibit A</w:t>
      </w:r>
      <w:r>
        <w:rPr>
          <w:rFonts w:ascii="Arial" w:hAnsi="Arial"/>
          <w:color w:val="000000"/>
          <w:sz w:val="22"/>
        </w:rPr>
        <w:t xml:space="preserve">, which may be updated from time to time to conform with changes to Rule 10b5-1 or the practices thereunder. Once a Rule 10b5-1 trading program is implemented in accordance with </w:t>
      </w:r>
      <w:r>
        <w:rPr>
          <w:rFonts w:ascii="Arial" w:hAnsi="Arial"/>
          <w:color w:val="000000"/>
          <w:sz w:val="22"/>
          <w:u w:val="single"/>
        </w:rPr>
        <w:t>Exhibit A</w:t>
      </w:r>
      <w:r>
        <w:rPr>
          <w:rFonts w:ascii="Arial" w:hAnsi="Arial"/>
          <w:color w:val="000000"/>
          <w:sz w:val="22"/>
        </w:rPr>
        <w:t>, trades pursuant to, and in accordance with, such program are not subject to the limitations and restrictions set forth in this Policy. Every Rule 10b5-1 trading program (or the form of program established by an investment bank or other third party) must be reviewed and approved by the Compliance Officer prior to establishment to confirm compliance with this Policy and applicable securities laws.</w:t>
      </w:r>
    </w:p>
    <w:p>
      <w:pPr>
        <w:pStyle w:val="TextBody"/>
        <w:bidi w:val="0"/>
        <w:spacing w:before="0" w:after="120"/>
        <w:jc w:val="center"/>
        <w:rPr>
          <w:rFonts w:ascii="Arial" w:hAnsi="Arial"/>
          <w:b/>
          <w:color w:val="000000"/>
          <w:sz w:val="22"/>
        </w:rPr>
      </w:pPr>
      <w:r>
        <w:rPr>
          <w:rFonts w:ascii="Arial" w:hAnsi="Arial"/>
          <w:b/>
          <w:color w:val="000000"/>
          <w:sz w:val="22"/>
        </w:rPr>
        <w:t>POTENTIAL CRIMINAL AND CIVIL LIABILITY AND/OR DISCIPLINARY ACTION</w:t>
      </w:r>
    </w:p>
    <w:p>
      <w:pPr>
        <w:pStyle w:val="TextBody"/>
        <w:bidi w:val="0"/>
        <w:spacing w:before="0" w:after="120"/>
        <w:jc w:val="both"/>
        <w:rPr>
          <w:rFonts w:ascii="Arial" w:hAnsi="Arial"/>
          <w:b/>
          <w:i/>
          <w:color w:val="000000"/>
          <w:sz w:val="22"/>
        </w:rPr>
      </w:pPr>
      <w:r>
        <w:rPr>
          <w:rFonts w:ascii="Arial" w:hAnsi="Arial"/>
          <w:b/>
          <w:i/>
          <w:color w:val="000000"/>
          <w:sz w:val="22"/>
        </w:rPr>
        <w:t>What legal liability may I be subject to if I engage in securities transactions on the basis of material nonpublic information?</w:t>
      </w:r>
    </w:p>
    <w:p>
      <w:pPr>
        <w:pStyle w:val="TextBody"/>
        <w:bidi w:val="0"/>
        <w:spacing w:before="0" w:after="120"/>
        <w:jc w:val="both"/>
        <w:rPr>
          <w:rFonts w:ascii="Arial" w:hAnsi="Arial"/>
          <w:color w:val="000000"/>
          <w:sz w:val="22"/>
        </w:rPr>
      </w:pPr>
      <w:r>
        <w:rPr>
          <w:rFonts w:ascii="Arial" w:hAnsi="Arial"/>
          <w:color w:val="000000"/>
          <w:sz w:val="22"/>
        </w:rPr>
        <w:t>Insiders that engage in securities transactions at a time when they are aware of material nonpublic information may be subject to penalties that include: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imprisonment for up to 20 years;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criminal fines of up to $5 million; and</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civil fines of up to three times the profit gained or the loss avoided.</w:t>
      </w:r>
    </w:p>
    <w:p>
      <w:pPr>
        <w:pStyle w:val="TextBody"/>
        <w:bidi w:val="0"/>
        <w:spacing w:before="0" w:after="120"/>
        <w:jc w:val="both"/>
        <w:rPr>
          <w:rFonts w:ascii="Arial" w:hAnsi="Arial"/>
          <w:b/>
          <w:i/>
          <w:color w:val="000000"/>
          <w:sz w:val="22"/>
        </w:rPr>
      </w:pPr>
      <w:r>
        <w:rPr>
          <w:rFonts w:ascii="Arial" w:hAnsi="Arial"/>
          <w:b/>
          <w:i/>
          <w:color w:val="000000"/>
          <w:sz w:val="22"/>
        </w:rPr>
        <w:t>What legal liability may I be subject to if I disclose material nonpublic information to others who engage in securities transactions?</w:t>
      </w:r>
    </w:p>
    <w:p>
      <w:pPr>
        <w:pStyle w:val="TextBody"/>
        <w:bidi w:val="0"/>
        <w:spacing w:before="0" w:after="120"/>
        <w:jc w:val="both"/>
        <w:rPr>
          <w:rFonts w:ascii="Arial" w:hAnsi="Arial"/>
          <w:color w:val="000000"/>
          <w:sz w:val="22"/>
        </w:rPr>
      </w:pPr>
      <w:r>
        <w:rPr>
          <w:rFonts w:ascii="Arial" w:hAnsi="Arial"/>
          <w:color w:val="000000"/>
          <w:sz w:val="22"/>
        </w:rPr>
        <w:t>Insiders may be liable for improper transactions by any person (commonly called a “tippee”) to whom they have disclosed material nonpublic information in breach of a duty to the Company or to whom they have made recommendations or expressed opinions on the basis of such information as to trading in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pStyle w:val="TextBody"/>
        <w:bidi w:val="0"/>
        <w:spacing w:before="0" w:after="120"/>
        <w:jc w:val="both"/>
        <w:rPr>
          <w:rFonts w:ascii="Arial" w:hAnsi="Arial"/>
          <w:b/>
          <w:i/>
          <w:color w:val="000000"/>
          <w:sz w:val="22"/>
        </w:rPr>
      </w:pPr>
      <w:r>
        <w:rPr>
          <w:rFonts w:ascii="Arial" w:hAnsi="Arial"/>
          <w:b/>
          <w:i/>
          <w:color w:val="000000"/>
          <w:sz w:val="22"/>
        </w:rPr>
        <w:t>Could the Company incur liability for my actions if I engage in securities transactions at a time that I have material nonpublic information?</w:t>
      </w:r>
    </w:p>
    <w:p>
      <w:pPr>
        <w:pStyle w:val="TextBody"/>
        <w:bidi w:val="0"/>
        <w:spacing w:before="0" w:after="120"/>
        <w:jc w:val="both"/>
        <w:rPr>
          <w:rFonts w:ascii="Arial" w:hAnsi="Arial"/>
          <w:color w:val="000000"/>
          <w:sz w:val="22"/>
        </w:rPr>
      </w:pPr>
      <w:r>
        <w:rPr>
          <w:rFonts w:ascii="Arial" w:hAnsi="Arial"/>
          <w:color w:val="000000"/>
          <w:sz w:val="22"/>
        </w:rPr>
        <w:t>If the Company fails to take appropriate steps to prevent illegal insider trading, the Company may have “controlling person” liability for a trading violation, with civil penalties, as well as a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before="0" w:after="120"/>
        <w:jc w:val="both"/>
        <w:rPr>
          <w:rFonts w:ascii="Arial" w:hAnsi="Arial"/>
          <w:b/>
          <w:i/>
          <w:color w:val="000000"/>
          <w:sz w:val="22"/>
        </w:rPr>
      </w:pPr>
      <w:r>
        <w:rPr>
          <w:rFonts w:ascii="Arial" w:hAnsi="Arial"/>
          <w:b/>
          <w:i/>
          <w:color w:val="000000"/>
          <w:sz w:val="22"/>
        </w:rPr>
        <w:t>What disciplinary actions may the Company take for violations of this Policy?</w:t>
      </w:r>
    </w:p>
    <w:p>
      <w:pPr>
        <w:pStyle w:val="TextBody"/>
        <w:bidi w:val="0"/>
        <w:spacing w:before="0" w:after="120"/>
        <w:jc w:val="both"/>
        <w:rPr>
          <w:rFonts w:ascii="Times New Roman" w:hAnsi="Times New Roman"/>
          <w:sz w:val="20"/>
        </w:rPr>
      </w:pPr>
      <w:r>
        <w:rPr>
          <w:rFonts w:ascii="Arial" w:hAnsi="Arial"/>
          <w:color w:val="000000"/>
          <w:sz w:val="22"/>
        </w:rPr>
        <w:t xml:space="preserve">The Company expects strict compliance with this Policy and the procedures under this Policy by all Insiders. Failure to so comply may result in serious legal consequences for you, as well as the Company. A failure to follow the letter and spirit of this Policy and its procedures would be considered a matter of extreme seriousness. All Insiders must execute a certificate in the form attached as </w:t>
      </w:r>
      <w:r>
        <w:rPr>
          <w:rFonts w:ascii="Arial" w:hAnsi="Arial"/>
          <w:color w:val="000000"/>
          <w:sz w:val="22"/>
          <w:u w:val="single"/>
        </w:rPr>
        <w:t>Exhibit B</w:t>
      </w:r>
      <w:r>
        <w:rPr>
          <w:rFonts w:ascii="Arial" w:hAnsi="Arial"/>
          <w:color w:val="000000"/>
          <w:sz w:val="22"/>
        </w:rPr>
        <w:t>, pursuant to which they certify that, among other things, such persons are currently, and will continue to be, in compliance with this Policy.</w:t>
      </w:r>
    </w:p>
    <w:p>
      <w:pPr>
        <w:pStyle w:val="TextBody"/>
        <w:bidi w:val="0"/>
        <w:jc w:val="center"/>
        <w:rPr>
          <w:rFonts w:ascii="Arial" w:hAnsi="Arial"/>
          <w:color w:val="000000"/>
          <w:sz w:val="22"/>
        </w:rPr>
      </w:pPr>
      <w:r>
        <w:rPr>
          <w:rFonts w:ascii="Arial" w:hAnsi="Arial"/>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Arial" w:hAnsi="Arial"/>
          <w:color w:val="000000"/>
          <w:sz w:val="22"/>
        </w:rPr>
      </w:pPr>
      <w:r>
        <w:rPr>
          <w:rFonts w:ascii="Arial" w:hAnsi="Arial"/>
          <w:color w:val="000000"/>
          <w:sz w:val="22"/>
        </w:rPr>
        <w:t>Insiders who violate this Policy may be subject to disciplinary action by the Company. Such disciplinary action may include ineligibility for future participation in the Company’s equity incentive plans, other Company imposed sanctions, suspension or termination of employment.</w:t>
      </w:r>
    </w:p>
    <w:p>
      <w:pPr>
        <w:pStyle w:val="TextBody"/>
        <w:bidi w:val="0"/>
        <w:spacing w:before="0" w:after="120"/>
        <w:jc w:val="center"/>
        <w:rPr>
          <w:rFonts w:ascii="Arial" w:hAnsi="Arial"/>
          <w:b/>
          <w:color w:val="000000"/>
          <w:sz w:val="22"/>
        </w:rPr>
      </w:pPr>
      <w:r>
        <w:rPr>
          <w:rFonts w:ascii="Arial" w:hAnsi="Arial"/>
          <w:b/>
          <w:color w:val="000000"/>
          <w:sz w:val="22"/>
        </w:rPr>
        <w:t>DEFINITION OF MATERIAL NONPUBLIC INFORMATION</w:t>
      </w:r>
    </w:p>
    <w:p>
      <w:pPr>
        <w:pStyle w:val="TextBody"/>
        <w:bidi w:val="0"/>
        <w:spacing w:before="0" w:after="120"/>
        <w:jc w:val="both"/>
        <w:rPr>
          <w:rFonts w:ascii="Arial" w:hAnsi="Arial"/>
          <w:color w:val="000000"/>
          <w:sz w:val="22"/>
        </w:rPr>
      </w:pPr>
      <w:r>
        <w:rPr>
          <w:rFonts w:ascii="Arial" w:hAnsi="Arial"/>
          <w:color w:val="000000"/>
          <w:sz w:val="22"/>
        </w:rPr>
        <w:t>Material nonpublic information has two important elements: materiality and public availability.</w:t>
      </w:r>
    </w:p>
    <w:p>
      <w:pPr>
        <w:pStyle w:val="TextBody"/>
        <w:bidi w:val="0"/>
        <w:spacing w:before="0" w:after="120"/>
        <w:jc w:val="both"/>
        <w:rPr>
          <w:rFonts w:ascii="Arial" w:hAnsi="Arial"/>
          <w:b/>
          <w:i/>
          <w:color w:val="000000"/>
          <w:sz w:val="22"/>
        </w:rPr>
      </w:pPr>
      <w:r>
        <w:rPr>
          <w:rFonts w:ascii="Arial" w:hAnsi="Arial"/>
          <w:b/>
          <w:i/>
          <w:color w:val="000000"/>
          <w:sz w:val="22"/>
        </w:rPr>
        <w:t>What information is material?</w:t>
      </w:r>
    </w:p>
    <w:p>
      <w:pPr>
        <w:pStyle w:val="TextBody"/>
        <w:bidi w:val="0"/>
        <w:spacing w:before="0" w:after="120"/>
        <w:jc w:val="both"/>
        <w:rPr>
          <w:rFonts w:ascii="Times New Roman" w:hAnsi="Times New Roman"/>
          <w:sz w:val="20"/>
        </w:rPr>
      </w:pPr>
      <w:r>
        <w:rPr>
          <w:rFonts w:ascii="Arial" w:hAnsi="Arial"/>
          <w:color w:val="000000"/>
          <w:sz w:val="22"/>
        </w:rPr>
        <w:t>It is not possible to define all categories of material information. However, information should be regarded as material if there is a reasonable likelihood that it would be considered important to an investor in making an investment decision (</w:t>
      </w:r>
      <w:r>
        <w:rPr>
          <w:rFonts w:ascii="Arial" w:hAnsi="Arial"/>
          <w:i/>
          <w:color w:val="000000"/>
          <w:sz w:val="22"/>
        </w:rPr>
        <w:t>i.e.</w:t>
      </w:r>
      <w:r>
        <w:rPr>
          <w:rFonts w:ascii="Arial" w:hAnsi="Arial"/>
          <w:color w:val="000000"/>
          <w:sz w:val="22"/>
        </w:rPr>
        <w:t>, a decision to buy, hold or sell a security), or if it would significantly alter the total mix of information available to investors. While it may be difficult under this standard to determine whether particular information is material, there are various categories of information that are particularly sensitive and, as a general rule, should always be considered material. Examples of such information include: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financial results;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projections of future earnings or losses;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news of a pending or proposed merger or acquisition;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news of the disposition of a subsidiary or significant assets;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impending bankruptcy or financial liquidity problems;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gain or loss of a substantial customer or supplier;</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establishment or termination of a significant licensor, licensee or other collaborator or partner;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changes in a dividend policy;</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new project developments or announcements of a significant nature;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results of, or significant developments related to, an important clinical trial;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significant decisions or communications relating to a product or product candidate by the U.S. Food and Drug Administration or a similar regulatory authority outside the U.S.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stock splits;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new equity or debt offerings;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significant litigation exposure due to actual or threatened litigation or developments in existing litigation;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significant changes in senior management;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information as to the success, failure or even the unchanging status of particular aspects of the Company’s business; and</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significant cybersecurity incidents, such as a data breach or any other significant disruption in the Company’s operations or the loss, potential loss, breach or unauthorized access of its property or assets.</w:t>
      </w:r>
    </w:p>
    <w:p>
      <w:pPr>
        <w:pStyle w:val="TextBody"/>
        <w:bidi w:val="0"/>
        <w:spacing w:before="0" w:after="120"/>
        <w:jc w:val="both"/>
        <w:rPr>
          <w:rFonts w:ascii="Arial" w:hAnsi="Arial"/>
          <w:color w:val="000000"/>
          <w:sz w:val="22"/>
        </w:rPr>
      </w:pPr>
      <w:r>
        <w:rPr>
          <w:rFonts w:ascii="Arial" w:hAnsi="Arial"/>
          <w:color w:val="000000"/>
          <w:sz w:val="22"/>
        </w:rPr>
        <w:t>Both positive and negative information may be material. Because trading that receives scrutiny will be evaluated after the fact with the benefit of hindsight, questions concerning the materiality of particular information should be resolved in favor of materiality, and trading should be avoided.</w:t>
      </w:r>
    </w:p>
    <w:p>
      <w:pPr>
        <w:pStyle w:val="TextBody"/>
        <w:bidi w:val="0"/>
        <w:jc w:val="center"/>
        <w:rPr>
          <w:rFonts w:ascii="Arial" w:hAnsi="Arial"/>
          <w:color w:val="000000"/>
          <w:sz w:val="22"/>
        </w:rPr>
      </w:pPr>
      <w:r>
        <w:rPr>
          <w:rFonts w:ascii="Arial" w:hAnsi="Arial"/>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Arial" w:hAnsi="Arial"/>
          <w:b/>
          <w:i/>
          <w:color w:val="000000"/>
          <w:sz w:val="22"/>
        </w:rPr>
      </w:pPr>
      <w:r>
        <w:rPr>
          <w:rFonts w:ascii="Arial" w:hAnsi="Arial"/>
          <w:b/>
          <w:i/>
          <w:color w:val="000000"/>
          <w:sz w:val="22"/>
        </w:rPr>
        <w:t>What constitutes nonpublic information?</w:t>
      </w:r>
    </w:p>
    <w:p>
      <w:pPr>
        <w:pStyle w:val="TextBody"/>
        <w:bidi w:val="0"/>
        <w:spacing w:before="0" w:after="120"/>
        <w:jc w:val="both"/>
        <w:rPr>
          <w:rFonts w:ascii="Times New Roman" w:hAnsi="Times New Roman"/>
          <w:sz w:val="20"/>
        </w:rPr>
      </w:pPr>
      <w:r>
        <w:rPr>
          <w:rFonts w:ascii="Arial" w:hAnsi="Arial"/>
          <w:color w:val="000000"/>
          <w:sz w:val="22"/>
        </w:rPr>
        <w:t>Nonpublic information is information that has not been previously disclosed to the general public and is otherwise not available to the general public. One common misconception is that material information loses its “nonpublic” status as soon as a press release is issued disclosing the information. In fact, information is considered available to the public only when it has been released broadly to the marketplace (</w:t>
      </w:r>
      <w:r>
        <w:rPr>
          <w:rFonts w:ascii="Arial" w:hAnsi="Arial"/>
          <w:i/>
          <w:color w:val="000000"/>
          <w:sz w:val="22"/>
        </w:rPr>
        <w:t>e.g.</w:t>
      </w:r>
      <w:r>
        <w:rPr>
          <w:rFonts w:ascii="Arial" w:hAnsi="Arial"/>
          <w:color w:val="000000"/>
          <w:sz w:val="22"/>
        </w:rPr>
        <w:t>, by a press release or an SEC filing) and the investing public has had time to absorb the information fully. For a discussion of when, as a general rule, information is considered public for purposes of this Policy, see “STATEMENT OF POLICY—What policies and procedures am I required to adhere to before trading in securities?—Trading on Material Nonpublic Information is Prohibited,” above.</w:t>
      </w:r>
    </w:p>
    <w:p>
      <w:pPr>
        <w:pStyle w:val="TextBody"/>
        <w:bidi w:val="0"/>
        <w:spacing w:before="0" w:after="120"/>
        <w:jc w:val="center"/>
        <w:rPr>
          <w:rFonts w:ascii="Arial" w:hAnsi="Arial"/>
          <w:b/>
          <w:color w:val="000000"/>
          <w:sz w:val="22"/>
        </w:rPr>
      </w:pPr>
      <w:r>
        <w:rPr>
          <w:rFonts w:ascii="Arial" w:hAnsi="Arial"/>
          <w:b/>
          <w:color w:val="000000"/>
          <w:sz w:val="22"/>
        </w:rPr>
        <w:t>ADDITIONAL INFORMATION: DIRECTORS AND OFFICERS</w:t>
      </w:r>
    </w:p>
    <w:p>
      <w:pPr>
        <w:pStyle w:val="TextBody"/>
        <w:bidi w:val="0"/>
        <w:spacing w:before="0" w:after="120"/>
        <w:jc w:val="both"/>
        <w:rPr>
          <w:rFonts w:ascii="Times New Roman" w:hAnsi="Times New Roman"/>
          <w:sz w:val="20"/>
        </w:rPr>
      </w:pPr>
      <w:r>
        <w:rPr>
          <w:rFonts w:ascii="Arial" w:hAnsi="Arial"/>
          <w:color w:val="000000"/>
          <w:sz w:val="22"/>
        </w:rPr>
        <w:t>Members of the Board and certain officers of the Company must also comply with the reporting obligations and limitations on short-swing transactions set forth in Section 16 of the Exchange Act. The practical effect of these provisions is that such persons who purchase and sell Company Securities within a six-month period must disgorge all profits to the Company whether or not they had knowledge of any material nonpublic information. Under these provisions, and so long as certain other criteria are met, neither the receipt of a stock option under a Company equity incentive plan, nor exercising that option, is deemed a purchase under Section 16; however, the sale of any such shares is a sale under Section 16.</w:t>
      </w:r>
      <w:r>
        <w:rPr>
          <w:rFonts w:ascii="Times New Roman" w:hAnsi="Times New Roman"/>
          <w:color w:val="000000"/>
          <w:sz w:val="20"/>
        </w:rPr>
        <w:t xml:space="preserve"> </w:t>
      </w:r>
    </w:p>
    <w:p>
      <w:pPr>
        <w:pStyle w:val="TextBody"/>
        <w:bidi w:val="0"/>
        <w:spacing w:before="0" w:after="120"/>
        <w:jc w:val="center"/>
        <w:rPr>
          <w:rFonts w:ascii="Arial" w:hAnsi="Arial"/>
          <w:b/>
          <w:color w:val="000000"/>
          <w:sz w:val="22"/>
        </w:rPr>
      </w:pPr>
      <w:r>
        <w:rPr>
          <w:rFonts w:ascii="Arial" w:hAnsi="Arial"/>
          <w:b/>
          <w:color w:val="000000"/>
          <w:sz w:val="22"/>
        </w:rPr>
        <w:t>POLICY INTERPRETATION AND AMENDMENTS</w:t>
      </w:r>
    </w:p>
    <w:p>
      <w:pPr>
        <w:pStyle w:val="TextBody"/>
        <w:bidi w:val="0"/>
        <w:spacing w:before="0" w:after="120"/>
        <w:jc w:val="both"/>
        <w:rPr>
          <w:rFonts w:ascii="Times New Roman" w:hAnsi="Times New Roman"/>
          <w:sz w:val="20"/>
        </w:rPr>
      </w:pPr>
      <w:r>
        <w:rPr>
          <w:rFonts w:ascii="Arial" w:hAnsi="Arial"/>
          <w:color w:val="000000"/>
          <w:sz w:val="22"/>
        </w:rPr>
        <w:t>The Compliance Officer is authorized to interpret this Policy as necessary. The Compliance Officer may authorize deviations in the procedures in this Policy, provided those deviations are consistent with the general purpose of this Policy and applicable securities laws. Any such deviations must be confirmed in writing.</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color w:val="000000"/>
          <w:sz w:val="22"/>
        </w:rPr>
        <w:t>Any amendment to this Policy must be approved by the Board or the Nominating and Corporate Governance Committee of the Board.</w:t>
      </w:r>
      <w:r>
        <w:rPr>
          <w:rFonts w:ascii="Times New Roman" w:hAnsi="Times New Roman"/>
          <w:color w:val="000000"/>
          <w:sz w:val="20"/>
        </w:rPr>
        <w:t xml:space="preserve"> </w:t>
      </w:r>
    </w:p>
    <w:p>
      <w:pPr>
        <w:pStyle w:val="TextBody"/>
        <w:bidi w:val="0"/>
        <w:spacing w:before="0" w:after="120"/>
        <w:jc w:val="both"/>
        <w:rPr>
          <w:rFonts w:ascii="Arial" w:hAnsi="Arial"/>
          <w:color w:val="000000"/>
          <w:sz w:val="22"/>
        </w:rPr>
      </w:pPr>
      <w:r>
        <w:rPr>
          <w:rFonts w:ascii="Arial" w:hAnsi="Arial"/>
          <w:color w:val="000000"/>
          <w:sz w:val="22"/>
        </w:rPr>
        <w:t>This Policy replaces and supersedes all prior insider trading policies of the Company. In the event of any conflict or inconsistency between this Policy and any other materials previously distributed by the Company with respect to the subject matter of this Policy, this Policy shall govern.</w:t>
      </w:r>
    </w:p>
    <w:p>
      <w:pPr>
        <w:pStyle w:val="TextBody"/>
        <w:bidi w:val="0"/>
        <w:spacing w:before="0" w:after="120"/>
        <w:jc w:val="both"/>
        <w:rPr>
          <w:rFonts w:ascii="Arial" w:hAnsi="Arial"/>
          <w:color w:val="000000"/>
          <w:sz w:val="22"/>
        </w:rPr>
      </w:pPr>
      <w:r>
        <w:rPr>
          <w:rFonts w:ascii="Arial" w:hAnsi="Arial"/>
          <w:color w:val="000000"/>
          <w:sz w:val="22"/>
        </w:rPr>
        <w:t>The Company reviews and updates its policies, including this Policy, from time to time, and the Company reserves the right to amend, alter or terminate this Policy at any time and for any reason, subject to applicable law. A current copy of the Company’s policy regarding insider trading is available upon request from the Compliance Officer. It is your responsibility to comply with the terms of the Company’s policies as they may be in effect from time to time.</w:t>
      </w:r>
    </w:p>
    <w:p>
      <w:pPr>
        <w:pStyle w:val="TextBody"/>
        <w:bidi w:val="0"/>
        <w:spacing w:before="0" w:after="120"/>
        <w:jc w:val="center"/>
        <w:rPr>
          <w:rFonts w:ascii="Arial" w:hAnsi="Arial"/>
          <w:b/>
          <w:color w:val="000000"/>
          <w:sz w:val="22"/>
        </w:rPr>
      </w:pPr>
      <w:r>
        <w:rPr>
          <w:rFonts w:ascii="Arial" w:hAnsi="Arial"/>
          <w:b/>
          <w:color w:val="000000"/>
          <w:sz w:val="22"/>
        </w:rPr>
        <w:t>QUESTIONS ABOUT THIS POLICY</w:t>
      </w:r>
    </w:p>
    <w:p>
      <w:pPr>
        <w:pStyle w:val="TextBody"/>
        <w:bidi w:val="0"/>
        <w:spacing w:before="0" w:after="120"/>
        <w:jc w:val="both"/>
        <w:rPr>
          <w:rFonts w:ascii="Times New Roman" w:hAnsi="Times New Roman"/>
          <w:sz w:val="20"/>
        </w:rPr>
      </w:pPr>
      <w:r>
        <w:rPr>
          <w:rFonts w:ascii="Arial" w:hAnsi="Arial"/>
          <w:color w:val="000000"/>
          <w:sz w:val="22"/>
        </w:rPr>
        <w:t>Please direct your questions as to any matters discussed in this Policy to the Compliance Officer.</w:t>
      </w:r>
      <w:r>
        <w:rPr>
          <w:rFonts w:ascii="Times New Roman" w:hAnsi="Times New Roman"/>
          <w:color w:val="000000"/>
          <w:sz w:val="20"/>
        </w:rPr>
        <w:t xml:space="preserve"> </w:t>
      </w:r>
    </w:p>
    <w:p>
      <w:pPr>
        <w:pStyle w:val="TextBody"/>
        <w:bidi w:val="0"/>
        <w:jc w:val="center"/>
        <w:rPr>
          <w:rFonts w:ascii="Arial" w:hAnsi="Arial"/>
          <w:color w:val="000000"/>
          <w:sz w:val="22"/>
        </w:rPr>
      </w:pPr>
      <w:r>
        <w:rPr>
          <w:rFonts w:ascii="Arial" w:hAnsi="Arial"/>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center"/>
        <w:rPr>
          <w:rFonts w:ascii="Arial" w:hAnsi="Arial"/>
          <w:b/>
          <w:color w:val="000000"/>
          <w:sz w:val="22"/>
          <w:u w:val="single"/>
        </w:rPr>
      </w:pPr>
      <w:r>
        <w:rPr>
          <w:rFonts w:ascii="Arial" w:hAnsi="Arial"/>
          <w:b/>
          <w:color w:val="000000"/>
          <w:sz w:val="22"/>
          <w:u w:val="single"/>
        </w:rPr>
        <w:t>EXHIBIT A</w:t>
      </w:r>
    </w:p>
    <w:p>
      <w:pPr>
        <w:pStyle w:val="TextBody"/>
        <w:bidi w:val="0"/>
        <w:spacing w:before="0" w:after="120"/>
        <w:jc w:val="both"/>
        <w:rPr>
          <w:rFonts w:ascii="Times New Roman" w:hAnsi="Times New Roman"/>
          <w:sz w:val="20"/>
        </w:rPr>
      </w:pPr>
      <w:r>
        <w:rPr>
          <w:rFonts w:ascii="Arial" w:hAnsi="Arial"/>
          <w:color w:val="000000"/>
          <w:sz w:val="22"/>
        </w:rPr>
        <w:t>Rule 10b5-1 trading programs established pursuant to this Policy (each a “</w:t>
      </w:r>
      <w:r>
        <w:rPr>
          <w:rFonts w:ascii="Arial" w:hAnsi="Arial"/>
          <w:b/>
          <w:i/>
          <w:color w:val="000000"/>
          <w:sz w:val="22"/>
        </w:rPr>
        <w:t>Program</w:t>
      </w:r>
      <w:r>
        <w:rPr>
          <w:rFonts w:ascii="Times New Roman" w:hAnsi="Times New Roman"/>
          <w:color w:val="000000"/>
          <w:sz w:val="20"/>
        </w:rPr>
        <w:t>”</w:t>
      </w:r>
      <w:r>
        <w:rPr>
          <w:rFonts w:ascii="Arial" w:hAnsi="Arial"/>
          <w:color w:val="000000"/>
          <w:sz w:val="22"/>
        </w:rPr>
        <w:t>) are limited to:</w:t>
      </w:r>
    </w:p>
    <w:p>
      <w:pPr>
        <w:pStyle w:val="TextBody"/>
        <w:bidi w:val="0"/>
        <w:spacing w:before="0" w:after="120"/>
        <w:jc w:val="both"/>
        <w:rPr>
          <w:rFonts w:ascii="Times New Roman" w:hAnsi="Times New Roman"/>
          <w:sz w:val="20"/>
        </w:rPr>
      </w:pPr>
      <w:r>
        <w:rPr>
          <w:rFonts w:ascii="Arial" w:hAnsi="Arial"/>
          <w:color w:val="000000"/>
          <w:sz w:val="22"/>
        </w:rPr>
        <w:t>(a) A written trading plan (commonly called a non-discretionary Rule 10b5-1 plan) that permits automatic trading of Company Securities through a third party broker (an “</w:t>
      </w:r>
      <w:r>
        <w:rPr>
          <w:rFonts w:ascii="Arial" w:hAnsi="Arial"/>
          <w:b/>
          <w:i/>
          <w:color w:val="000000"/>
          <w:sz w:val="22"/>
        </w:rPr>
        <w:t>Automatic Trading Program</w:t>
      </w:r>
      <w:r>
        <w:rPr>
          <w:rFonts w:ascii="Times New Roman" w:hAnsi="Times New Roman"/>
          <w:color w:val="000000"/>
          <w:sz w:val="20"/>
        </w:rPr>
        <w:t>”</w:t>
      </w:r>
      <w:r>
        <w:rPr>
          <w:rFonts w:ascii="Arial" w:hAnsi="Arial"/>
          <w:color w:val="000000"/>
          <w:sz w:val="22"/>
        </w:rPr>
        <w:t>) established by a director, officer or other employee of the Company (a “</w:t>
      </w:r>
      <w:r>
        <w:rPr>
          <w:rFonts w:ascii="Arial" w:hAnsi="Arial"/>
          <w:b/>
          <w:i/>
          <w:color w:val="000000"/>
          <w:sz w:val="22"/>
        </w:rPr>
        <w:t>Program Eligible Person</w:t>
      </w:r>
      <w:r>
        <w:rPr>
          <w:rFonts w:ascii="Times New Roman" w:hAnsi="Times New Roman"/>
          <w:color w:val="000000"/>
          <w:sz w:val="20"/>
        </w:rPr>
        <w:t xml:space="preserve">” </w:t>
      </w:r>
      <w:r>
        <w:rPr>
          <w:rFonts w:ascii="Arial" w:hAnsi="Arial"/>
          <w:color w:val="000000"/>
          <w:sz w:val="22"/>
        </w:rPr>
        <w:t>or “</w:t>
      </w:r>
      <w:r>
        <w:rPr>
          <w:rFonts w:ascii="Arial" w:hAnsi="Arial"/>
          <w:b/>
          <w:i/>
          <w:color w:val="000000"/>
          <w:sz w:val="22"/>
        </w:rPr>
        <w:t>you</w:t>
      </w:r>
      <w:r>
        <w:rPr>
          <w:rFonts w:ascii="Times New Roman" w:hAnsi="Times New Roman"/>
          <w:color w:val="000000"/>
          <w:sz w:val="20"/>
        </w:rPr>
        <w:t xml:space="preserve">” </w:t>
      </w:r>
      <w:r>
        <w:rPr>
          <w:rFonts w:ascii="Arial" w:hAnsi="Arial"/>
          <w:color w:val="000000"/>
          <w:sz w:val="22"/>
        </w:rPr>
        <w:t>in this Exhibit A) at a time when the Program Eligible Person is not aware of material nonpublic information (and, in the case of directors, officers and Financial Insiders, during a Trading Window). The Automatic Trading Program must specify the number (or dollar value) of Company Securities to be purchased or sold, the price (which may be a fixed price, market price or minimum/maximum price) at which the Company Securities are to be traded, and the date(s) on which the trades are to be made. Alternatively, the Automatic Trading Program may include a written formula or algorithm, or computer program, for determining the amount of securities to be purchased or sold and the price at which and the date on which the securities were to be purchased or sold (</w:t>
      </w:r>
      <w:r>
        <w:rPr>
          <w:rFonts w:ascii="Arial" w:hAnsi="Arial"/>
          <w:i/>
          <w:color w:val="000000"/>
          <w:sz w:val="22"/>
        </w:rPr>
        <w:t>e.g.</w:t>
      </w:r>
      <w:r>
        <w:rPr>
          <w:rFonts w:ascii="Arial" w:hAnsi="Arial"/>
          <w:color w:val="000000"/>
          <w:sz w:val="22"/>
        </w:rPr>
        <w:t>, the number of shares could be specified as a percentage of the holdings of the Program Eligible Person); or</w:t>
      </w:r>
    </w:p>
    <w:p>
      <w:pPr>
        <w:pStyle w:val="TextBody"/>
        <w:bidi w:val="0"/>
        <w:spacing w:before="0" w:after="120"/>
        <w:jc w:val="both"/>
        <w:rPr>
          <w:rFonts w:ascii="Times New Roman" w:hAnsi="Times New Roman"/>
          <w:sz w:val="20"/>
        </w:rPr>
      </w:pPr>
      <w:r>
        <w:rPr>
          <w:rFonts w:ascii="Arial" w:hAnsi="Arial"/>
          <w:color w:val="000000"/>
          <w:sz w:val="22"/>
        </w:rPr>
        <w:t>(b) A Program where transactions in Company Securities are initiated by the trustee of a so-called “blind” trust, provided the Program is established by a Program Eligible Person at a time when the Program Eligible Person is not aware of material nonpublic information. A “blind” trust is a trust established by a Program Eligible Person. An independent trustee without any involvement or even knowledge of the Program Eligible Person must make the investment and disposition decisions. The trustee should be a recognized financial institution possessing trust powers. Under this type of Program, the Program Eligible Person cannot exert any influence over, or even communicate with, the trustee regarding specific investments. If the trustee becomes aware of material nonpublic information regarding the Company, whether from the Program Eligible Person or otherwise, the trustee may not engage in a purchase or sale of Company Securities.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Arial" w:hAnsi="Arial"/>
          <w:i/>
          <w:color w:val="000000"/>
          <w:sz w:val="22"/>
        </w:rPr>
        <w:t>Additional Program Restrictions</w:t>
      </w:r>
      <w:r>
        <w:rPr>
          <w:rFonts w:ascii="Arial" w:hAnsi="Arial"/>
          <w:color w:val="000000"/>
          <w:sz w:val="22"/>
        </w:rPr>
        <w:t>. All Programs are subject to the requirements of Rule 10b5-1 and to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The Program must provide that no trades may occur thereunder until expiration of the applicable cooling-off period specified in Rule 10b5-1(c)(ii)(B), and no trades occur under the Program until after that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Arial" w:hAnsi="Arial"/>
          <w:color w:val="000000"/>
          <w:sz w:val="22"/>
        </w:rPr>
      </w:pPr>
      <w:r>
        <w:rPr>
          <w:rFonts w:ascii="Arial" w:hAnsi="Arial"/>
          <w:color w:val="000000"/>
          <w:sz w:val="22"/>
        </w:rPr>
        <w:t xml:space="preserve">The applicable cooling-off period varies based on the status of the Program Eligible Person.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Arial" w:hAnsi="Arial"/>
          <w:color w:val="000000"/>
          <w:sz w:val="22"/>
        </w:rPr>
      </w:pPr>
      <w:r>
        <w:rPr>
          <w:rFonts w:ascii="Arial" w:hAnsi="Arial"/>
          <w:color w:val="000000"/>
          <w:sz w:val="22"/>
        </w:rPr>
        <w:t>For directors and officers, the cooling-off period ends on the later of (x) 90 days after adoption or modification of the Program; and (y) two business days following disclosure of the Company's financial results in a Form 10-Q or Form 10-K for the fiscal quarter in which the Program was adopted.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Arial" w:hAnsi="Arial"/>
          <w:color w:val="000000"/>
          <w:sz w:val="22"/>
        </w:rPr>
      </w:pPr>
      <w:r>
        <w:rPr>
          <w:rFonts w:ascii="Arial" w:hAnsi="Arial"/>
          <w:color w:val="000000"/>
          <w:sz w:val="22"/>
        </w:rPr>
        <w:t xml:space="preserve">For all other Program Eligible Persons, the cooling-off period ends 30 days after the adoption or modification of the Program.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The Program must include an expiration date that is at least six months but not more than 18 months from the effective date of the Program. Shorter-term Programs may be viewed as an attempt to make advantageous short-term trades, and longer-term Programs are likely to have to be amended or terminated, which defeats the ultimate purpose of Programs. </w:t>
      </w:r>
    </w:p>
    <w:tbl>
      <w:tblPr>
        <w:tblW w:w="758" w:type="dxa"/>
        <w:jc w:val="left"/>
        <w:tblInd w:w="0" w:type="dxa"/>
        <w:tblLayout w:type="fixed"/>
        <w:tblCellMar>
          <w:top w:w="28" w:type="dxa"/>
          <w:left w:w="28" w:type="dxa"/>
          <w:bottom w:w="28" w:type="dxa"/>
          <w:right w:w="28" w:type="dxa"/>
        </w:tblCellMar>
      </w:tblPr>
      <w:tblGrid>
        <w:gridCol w:w="161"/>
        <w:gridCol w:w="4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Once the Program is established, the Program must not permit the Program Eligible Person to exercise any influence or control over the amount of Company Securities to be traded, the price(s) at which they are to be traded or the date(s) on which the trades are to be made.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2"/>
        </w:rPr>
        <w:t>The Program Eligible Person cannot engage in any separate transaction (</w:t>
      </w:r>
      <w:r>
        <w:rPr>
          <w:rFonts w:ascii="Arial" w:hAnsi="Arial"/>
          <w:i/>
          <w:color w:val="000000"/>
          <w:sz w:val="22"/>
        </w:rPr>
        <w:t>e.g.</w:t>
      </w:r>
      <w:r>
        <w:rPr>
          <w:rFonts w:ascii="Arial" w:hAnsi="Arial"/>
          <w:color w:val="000000"/>
          <w:sz w:val="22"/>
        </w:rPr>
        <w:t>, a hedging transaction) that directly or indirectly alters or offsets a trade under the Program.</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2"/>
        </w:rPr>
        <w:t>The Program must allow for the cancellation of a transaction and/or suspension of a Program upon notice and request by the Company to the extent the Program or any proposed trade thereunder (i) fails to comply with applicable law (</w:t>
      </w:r>
      <w:r>
        <w:rPr>
          <w:rFonts w:ascii="Arial" w:hAnsi="Arial"/>
          <w:i/>
          <w:color w:val="000000"/>
          <w:sz w:val="22"/>
        </w:rPr>
        <w:t>e.g.</w:t>
      </w:r>
      <w:r>
        <w:rPr>
          <w:rFonts w:ascii="Arial" w:hAnsi="Arial"/>
          <w:color w:val="000000"/>
          <w:sz w:val="22"/>
        </w:rPr>
        <w:t>, exceeding the number of shares which the Program Eligible Person may sell under Rule 144 in a rolling three month period), or (ii) would create material adverse consequences for the Company (</w:t>
      </w:r>
      <w:r>
        <w:rPr>
          <w:rFonts w:ascii="Arial" w:hAnsi="Arial"/>
          <w:i/>
          <w:color w:val="000000"/>
          <w:sz w:val="22"/>
        </w:rPr>
        <w:t>e.g.</w:t>
      </w:r>
      <w:r>
        <w:rPr>
          <w:rFonts w:ascii="Arial" w:hAnsi="Arial"/>
          <w:color w:val="000000"/>
          <w:sz w:val="22"/>
        </w:rPr>
        <w:t>, due to the imposition of lock-up agreements on the Program Eligible Person).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Any Program entered into by a Program Eligible Person must be the only outstanding Program for such Program Eligible Person, subject to the exceptions set out in Rule 10b5-1(c)(ii)(D).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Subject to and in accordance with the terms of Rule 10b5-1, a Program Eligible Person may not have more than one “single trade” Program during any 12-month period.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The Program must be entered into (a) in good faith and not as part of a plan or scheme to evade the prohibitions of the securities laws (including, without limitation, Rule 10b5-1) and (b) at a time when the Program Eligible Person is not aware of material nonpublic information about the Company; and if the Program Eligible Person is a director or officer of the Company, the Program for such director or officer must include representations by the director or officer certifying as to the matters described in clauses (a) and (b). </w:t>
      </w:r>
    </w:p>
    <w:p>
      <w:pPr>
        <w:pStyle w:val="TextBody"/>
        <w:bidi w:val="0"/>
        <w:spacing w:before="0" w:after="120"/>
        <w:jc w:val="both"/>
        <w:rPr>
          <w:rFonts w:ascii="Times New Roman" w:hAnsi="Times New Roman"/>
          <w:sz w:val="20"/>
        </w:rPr>
      </w:pPr>
      <w:r>
        <w:rPr>
          <w:rFonts w:ascii="Arial" w:hAnsi="Arial"/>
          <w:i/>
          <w:color w:val="000000"/>
          <w:sz w:val="22"/>
        </w:rPr>
        <w:t>Amendment, Suspension or Termination of Programs</w:t>
      </w:r>
      <w:r>
        <w:rPr>
          <w:rFonts w:ascii="Arial" w:hAnsi="Arial"/>
          <w:color w:val="000000"/>
          <w:sz w:val="22"/>
        </w:rPr>
        <w:t>. Any modification or change to the amount, price, or timing of the purchase or sale of the securities underlying a Program is considered a termination of such Program and the adoption of a new Program. Amendments, suspensions, and terminations of Programs will be viewed in hindsight and could call into question whether the Program was entered into in good faith. As a result, amendments, suspensions, and terminations of Programs (unless in accordance with the terms of the Program when established) require preapproval of the Compliance Officer, who will inquire into the change in circumstances that has occurred since the inception of the Program giving rise to the requested amendment, suspension, or termination. Scheduled sales or purchases of securities pursuant to a Program will not be halted during the pendency of the amendment, suspension, or termination request. The Company has the right at any time to require additional and/or different requirements in connection with the amendment, suspension, or termination of a Program in order to protect you and the Company from potential liability. Further, a Program may be terminated or suspended by the Company at any time and for any reason.</w:t>
      </w:r>
    </w:p>
    <w:p>
      <w:pPr>
        <w:pStyle w:val="TextBody"/>
        <w:bidi w:val="0"/>
        <w:spacing w:before="0" w:after="120"/>
        <w:jc w:val="both"/>
        <w:rPr>
          <w:rFonts w:ascii="Times New Roman" w:hAnsi="Times New Roman"/>
          <w:sz w:val="20"/>
        </w:rPr>
      </w:pPr>
      <w:r>
        <w:rPr>
          <w:rFonts w:ascii="Arial" w:hAnsi="Arial"/>
          <w:color w:val="000000"/>
          <w:sz w:val="22"/>
        </w:rPr>
        <w:t>In addition, you may voluntarily amend, suspend or terminate a Program, subject to these conditions: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A Program Eligible Person may only amend, suspend or terminate their Program during a Trading Window and following preclearance by the Compliance Officer. </w:t>
      </w:r>
    </w:p>
    <w:tbl>
      <w:tblPr>
        <w:tblW w:w="758" w:type="dxa"/>
        <w:jc w:val="left"/>
        <w:tblInd w:w="0" w:type="dxa"/>
        <w:tblLayout w:type="fixed"/>
        <w:tblCellMar>
          <w:top w:w="28" w:type="dxa"/>
          <w:left w:w="28" w:type="dxa"/>
          <w:bottom w:w="28" w:type="dxa"/>
          <w:right w:w="28" w:type="dxa"/>
        </w:tblCellMar>
      </w:tblPr>
      <w:tblGrid>
        <w:gridCol w:w="161"/>
        <w:gridCol w:w="4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A Program Eligible Person may not amend, suspend or terminate their Program if at the time of the amendment, suspension or termination, the Program Eligible Person possesses material nonpublic information concerning the Company. A Program Eligible Person must sign a certificate in favor of the Company affirmatively stating that they do not possess material nonpublic information concerning the Company at the time of the amendment, suspension or termination.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 xml:space="preserve">The amendment, suspension or termination must include any applicable cooling-off period pursuant to Rule 10b5-1.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No suspension of a Program may exceed 60 calendar days.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At least one year must elapse between the termination of a Program and the entry into a new Program.</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2"/>
        </w:rPr>
      </w:pPr>
      <w:r>
        <w:rPr>
          <w:rFonts w:ascii="Arial" w:hAnsi="Arial"/>
          <w:color w:val="000000"/>
          <w:sz w:val="22"/>
        </w:rPr>
        <w:t>A Program Eligible Person will be limited to one amendment or suspension of their Program during its term.</w:t>
      </w:r>
    </w:p>
    <w:p>
      <w:pPr>
        <w:pStyle w:val="TextBody"/>
        <w:bidi w:val="0"/>
        <w:spacing w:before="0" w:after="120"/>
        <w:jc w:val="both"/>
        <w:rPr>
          <w:rFonts w:ascii="Times New Roman" w:hAnsi="Times New Roman"/>
          <w:sz w:val="20"/>
        </w:rPr>
      </w:pPr>
      <w:r>
        <w:rPr>
          <w:rFonts w:ascii="Arial" w:hAnsi="Arial"/>
          <w:i/>
          <w:color w:val="000000"/>
          <w:sz w:val="22"/>
        </w:rPr>
        <w:t>Company Disclosure</w:t>
      </w:r>
      <w:r>
        <w:rPr>
          <w:rFonts w:ascii="Arial" w:hAnsi="Arial"/>
          <w:color w:val="000000"/>
          <w:sz w:val="22"/>
        </w:rPr>
        <w:t>. The Company will be required to make certain disclosures in accordance with Rule 10b5-1 regarding any adoption, modification or termination of a Program by any person subject to Section 16 of the Exchange Act. Upon the occurrence of any such adoption, modification or termination, such persons must promptly furnish the Compliance Officer with information regarding the date of adoption, termination or modification of the Program, the Program’s duration, the aggregate number of securities to be sold or purchased under the Program and any other information reasonably requested by the Compliance Officer.</w:t>
      </w:r>
    </w:p>
    <w:p>
      <w:pPr>
        <w:pStyle w:val="TextBody"/>
        <w:bidi w:val="0"/>
        <w:spacing w:before="0" w:after="120"/>
        <w:jc w:val="both"/>
        <w:rPr>
          <w:rFonts w:ascii="Arial" w:hAnsi="Arial"/>
          <w:b/>
          <w:color w:val="000000"/>
          <w:sz w:val="22"/>
        </w:rPr>
      </w:pPr>
      <w:r>
        <w:rPr>
          <w:rFonts w:ascii="Arial" w:hAnsi="Arial"/>
          <w:b/>
          <w:color w:val="000000"/>
          <w:sz w:val="22"/>
        </w:rPr>
        <w:t>You have the ultimate and exclusive responsibility for adhering to the requirements set forth herein. Any action on the part of the Company, the Compliance Officer, or any other person pursuant to this Policy (or otherwise) does not in any way constitute legal advice or insulate you from liability under securities laws. You must notify the Compliance Officer if you become aware of a breach of the requirements, either by you or by another person subject to this Policy. The Company shall have no liability to any Program Eligible Person as a result of the establishment of a Program, any disclosure by the Company with respect thereto, or any cancellation or transactions and/or suspension of a Program as discussed above.</w:t>
      </w:r>
    </w:p>
    <w:p>
      <w:pPr>
        <w:pStyle w:val="TextBody"/>
        <w:bidi w:val="0"/>
        <w:spacing w:before="0" w:after="120"/>
        <w:jc w:val="both"/>
        <w:rPr/>
      </w:pPr>
      <w:r>
        <w:rPr/>
        <w:t> </w:t>
      </w:r>
    </w:p>
    <w:p>
      <w:pPr>
        <w:pStyle w:val="TextBody"/>
        <w:bidi w:val="0"/>
        <w:spacing w:before="0" w:after="120"/>
        <w:jc w:val="both"/>
        <w:rPr/>
      </w:pPr>
      <w:r>
        <w:rPr/>
        <w:t> </w:t>
      </w:r>
    </w:p>
    <w:tbl>
      <w:tblPr>
        <w:tblW w:w="758" w:type="dxa"/>
        <w:jc w:val="left"/>
        <w:tblInd w:w="0" w:type="dxa"/>
        <w:tblLayout w:type="fixed"/>
        <w:tblCellMar>
          <w:top w:w="28" w:type="dxa"/>
          <w:left w:w="28" w:type="dxa"/>
          <w:bottom w:w="28" w:type="dxa"/>
          <w:right w:w="28" w:type="dxa"/>
        </w:tblCellMar>
      </w:tblPr>
      <w:tblGrid>
        <w:gridCol w:w="161"/>
        <w:gridCol w:w="4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center"/>
        <w:rPr>
          <w:rFonts w:ascii="Arial" w:hAnsi="Arial"/>
          <w:b/>
          <w:color w:val="000000"/>
          <w:sz w:val="22"/>
          <w:u w:val="single"/>
        </w:rPr>
      </w:pPr>
      <w:r>
        <w:rPr>
          <w:rFonts w:ascii="Arial" w:hAnsi="Arial"/>
          <w:b/>
          <w:color w:val="000000"/>
          <w:sz w:val="22"/>
          <w:u w:val="single"/>
        </w:rPr>
        <w:t>EXHIBIT B</w:t>
      </w:r>
    </w:p>
    <w:p>
      <w:pPr>
        <w:pStyle w:val="TextBody"/>
        <w:bidi w:val="0"/>
        <w:spacing w:before="0" w:after="120"/>
        <w:jc w:val="center"/>
        <w:rPr>
          <w:rFonts w:ascii="Arial" w:hAnsi="Arial"/>
          <w:b/>
          <w:color w:val="000000"/>
          <w:sz w:val="22"/>
        </w:rPr>
      </w:pPr>
      <w:r>
        <w:rPr>
          <w:rFonts w:ascii="Arial" w:hAnsi="Arial"/>
          <w:b/>
          <w:color w:val="000000"/>
          <w:sz w:val="22"/>
        </w:rPr>
        <w:t>CERTIFICATION OF COMPLIANCE</w:t>
      </w:r>
    </w:p>
    <w:p>
      <w:pPr>
        <w:pStyle w:val="TextBody"/>
        <w:bidi w:val="0"/>
        <w:spacing w:before="0" w:after="120"/>
        <w:jc w:val="both"/>
        <w:rPr>
          <w:rFonts w:ascii="Arial" w:hAnsi="Arial"/>
          <w:color w:val="000000"/>
          <w:sz w:val="22"/>
        </w:rPr>
      </w:pPr>
      <w:r>
        <w:rPr>
          <w:rFonts w:ascii="Arial" w:hAnsi="Arial"/>
          <w:color w:val="000000"/>
          <w:sz w:val="22"/>
        </w:rPr>
        <w:t>TO: Compliance Officer</w:t>
      </w:r>
    </w:p>
    <w:p>
      <w:pPr>
        <w:pStyle w:val="TextBody"/>
        <w:bidi w:val="0"/>
        <w:spacing w:before="0" w:after="120"/>
        <w:jc w:val="both"/>
        <w:rPr>
          <w:rFonts w:ascii="Arial" w:hAnsi="Arial"/>
          <w:color w:val="000000"/>
          <w:sz w:val="22"/>
        </w:rPr>
      </w:pPr>
      <w:r>
        <w:rPr>
          <w:rFonts w:ascii="Arial" w:hAnsi="Arial"/>
          <w:color w:val="000000"/>
          <w:sz w:val="22"/>
        </w:rPr>
        <w:t xml:space="preserve">FROM: </w:t>
      </w:r>
    </w:p>
    <w:p>
      <w:pPr>
        <w:pStyle w:val="TextBody"/>
        <w:bidi w:val="0"/>
        <w:spacing w:before="0" w:after="120"/>
        <w:jc w:val="both"/>
        <w:rPr>
          <w:rFonts w:ascii="Arial" w:hAnsi="Arial"/>
          <w:color w:val="000000"/>
          <w:sz w:val="22"/>
        </w:rPr>
      </w:pPr>
      <w:r>
        <w:rPr>
          <w:rFonts w:ascii="Arial" w:hAnsi="Arial"/>
          <w:color w:val="000000"/>
          <w:sz w:val="22"/>
        </w:rPr>
        <w:t>RE: Lineage Cell Therapeutics, Inc. Insider Trading Policy</w:t>
      </w:r>
    </w:p>
    <w:p>
      <w:pPr>
        <w:pStyle w:val="TextBody"/>
        <w:bidi w:val="0"/>
        <w:spacing w:before="0" w:after="120"/>
        <w:jc w:val="both"/>
        <w:rPr>
          <w:rFonts w:ascii="Arial" w:hAnsi="Arial"/>
          <w:color w:val="000000"/>
          <w:sz w:val="22"/>
        </w:rPr>
      </w:pPr>
      <w:r>
        <w:rPr>
          <w:rFonts w:ascii="Arial" w:hAnsi="Arial"/>
          <w:color w:val="000000"/>
          <w:sz w:val="22"/>
        </w:rPr>
        <w:t>I have received, reviewed and understand the above-referenced Insider Trading Policy and undertake, as a condition to my present and continued employment (or, if I am not an employee, affiliation) with Lineage Cell Therapeutics, Inc., or any of its subsidiaries or Controlled Entities to comply fully with the policies and procedures contained therein, as the same may be amended from time to time.</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Arial" w:hAnsi="Arial"/>
          <w:color w:val="000000"/>
          <w:sz w:val="22"/>
        </w:rPr>
      </w:pPr>
      <w:r>
        <w:rPr>
          <w:rFonts w:ascii="Arial" w:hAnsi="Arial"/>
          <w:color w:val="000000"/>
          <w:sz w:val="22"/>
        </w:rPr>
        <w:t>__________________________ _______________________</w:t>
      </w:r>
    </w:p>
    <w:p>
      <w:pPr>
        <w:pStyle w:val="TextBody"/>
        <w:bidi w:val="0"/>
        <w:spacing w:before="0" w:after="240"/>
        <w:jc w:val="both"/>
        <w:rPr>
          <w:rFonts w:ascii="Arial" w:hAnsi="Arial"/>
          <w:color w:val="000000"/>
          <w:sz w:val="22"/>
        </w:rPr>
      </w:pPr>
      <w:r>
        <w:rPr>
          <w:rFonts w:ascii="Arial" w:hAnsi="Arial"/>
          <w:color w:val="000000"/>
          <w:sz w:val="22"/>
        </w:rPr>
        <w:t>Signature Date</w:t>
      </w:r>
    </w:p>
    <w:p>
      <w:pPr>
        <w:pStyle w:val="TextBody"/>
        <w:bidi w:val="0"/>
        <w:spacing w:before="0" w:after="120"/>
        <w:jc w:val="both"/>
        <w:rPr>
          <w:rFonts w:ascii="Arial" w:hAnsi="Arial"/>
          <w:color w:val="000000"/>
          <w:sz w:val="22"/>
        </w:rPr>
      </w:pPr>
      <w:r>
        <w:rPr>
          <w:rFonts w:ascii="Arial" w:hAnsi="Arial"/>
          <w:color w:val="000000"/>
          <w:sz w:val="22"/>
        </w:rPr>
        <w:t>__________________________</w:t>
      </w:r>
    </w:p>
    <w:p>
      <w:pPr>
        <w:pStyle w:val="TextBody"/>
        <w:bidi w:val="0"/>
        <w:spacing w:before="0" w:after="120"/>
        <w:jc w:val="both"/>
        <w:rPr>
          <w:rFonts w:ascii="Arial" w:hAnsi="Arial"/>
          <w:color w:val="000000"/>
          <w:sz w:val="22"/>
        </w:rPr>
      </w:pPr>
      <w:r>
        <w:rPr>
          <w:rFonts w:ascii="Arial" w:hAnsi="Arial"/>
          <w:color w:val="000000"/>
          <w:sz w:val="22"/>
        </w:rPr>
        <w:t>Title</w:t>
      </w:r>
    </w:p>
    <w:tbl>
      <w:tblPr>
        <w:tblW w:w="758" w:type="dxa"/>
        <w:jc w:val="left"/>
        <w:tblInd w:w="0" w:type="dxa"/>
        <w:tblLayout w:type="fixed"/>
        <w:tblCellMar>
          <w:top w:w="28" w:type="dxa"/>
          <w:left w:w="28" w:type="dxa"/>
          <w:bottom w:w="28" w:type="dxa"/>
          <w:right w:w="28" w:type="dxa"/>
        </w:tblCellMar>
      </w:tblPr>
      <w:tblGrid>
        <w:gridCol w:w="161"/>
        <w:gridCol w:w="4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lctx-ex21_1.htm"/>
      <w:bookmarkStart w:id="43" w:name="kslctxex21_1"/>
      <w:bookmarkEnd w:id="42"/>
      <w:bookmarkEnd w:id="43"/>
      <w:r>
        <w:rPr>
          <w:rFonts w:ascii="Times New Roman" w:hAnsi="Times New Roman"/>
          <w:b/>
          <w:color w:val="000000"/>
          <w:sz w:val="20"/>
        </w:rPr>
        <w:t>Exhibit 21.1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list of subsidiaries of Lineage Cell Therapeutics, Inc. as of December 31, 2024, omitting some subsidiaries which, considered in the aggregate, would not constitute a significant subsidiary.</w:t>
      </w:r>
    </w:p>
    <w:p>
      <w:pPr>
        <w:pStyle w:val="TextBody"/>
        <w:bidi w:val="0"/>
        <w:jc w:val="left"/>
        <w:rPr/>
      </w:pPr>
      <w:r>
        <w:rPr/>
        <w:t> </w:t>
      </w:r>
    </w:p>
    <w:tbl>
      <w:tblPr>
        <w:tblW w:w="7408" w:type="dxa"/>
        <w:jc w:val="left"/>
        <w:tblInd w:w="0" w:type="dxa"/>
        <w:tblLayout w:type="fixed"/>
        <w:tblCellMar>
          <w:top w:w="28" w:type="dxa"/>
          <w:left w:w="28" w:type="dxa"/>
          <w:bottom w:w="28" w:type="dxa"/>
          <w:right w:w="28" w:type="dxa"/>
        </w:tblCellMar>
      </w:tblPr>
      <w:tblGrid>
        <w:gridCol w:w="2506"/>
        <w:gridCol w:w="146"/>
        <w:gridCol w:w="475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 or Jurisdiction of Incorporation or Organization</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lctx-ex23_1.htm"/>
      <w:bookmarkStart w:id="45" w:name="kslctxex23_1"/>
      <w:bookmarkEnd w:id="44"/>
      <w:bookmarkEnd w:id="45"/>
      <w:r>
        <w:rPr>
          <w:rFonts w:ascii="Times New Roman" w:hAnsi="Times New Roman"/>
          <w:b/>
          <w:color w:val="000000"/>
          <w:sz w:val="20"/>
        </w:rPr>
        <w:t>Exhibit 23.01</w:t>
      </w:r>
      <w:r>
        <w:br w:type="page"/>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 xml:space="preserve">We consent to the incorporation by reference in the Registration Statements on Form S-3 (No. 333-277758, 333-166862, 333-167822, 333-174282, 333-182964, 333-183557, 333-187710, 333-188066, 333-201824, 333-209000, 333-217182, 333-218807, 333-254155, and 333-254167) and Form S-8 (No. 333-101651, 333-122844, 333-163396, 333-192531, 333-205661, 333-219204, 333-233132, 333-254158, 333-259853, and 333-275505) of Lineage Cell Therapeutics, Inc. (the “Company”), of our report dated March 10, 2025, relating to the consolidated financial statements of the Company as of and for the year ended December 31, 2024, appearing in this Annual Report on Form 10-K of the Company for the year ended December 31, 2024. </w:t>
      </w:r>
    </w:p>
    <w:p>
      <w:pPr>
        <w:pStyle w:val="TextBody"/>
        <w:bidi w:val="0"/>
        <w:jc w:val="both"/>
        <w:rPr/>
      </w:pPr>
      <w:r>
        <w:rPr/>
        <w:t> </w:t>
      </w:r>
    </w:p>
    <w:p>
      <w:pPr>
        <w:pStyle w:val="TextBody"/>
        <w:bidi w:val="0"/>
        <w:jc w:val="both"/>
        <w:rPr/>
      </w:pPr>
      <w:r>
        <w:rPr/>
        <w:t> </w:t>
      </w:r>
    </w:p>
    <w:tbl>
      <w:tblPr>
        <w:tblW w:w="2030" w:type="dxa"/>
        <w:jc w:val="left"/>
        <w:tblInd w:w="0" w:type="dxa"/>
        <w:tblLayout w:type="fixed"/>
        <w:tblCellMar>
          <w:top w:w="28" w:type="dxa"/>
          <w:left w:w="28" w:type="dxa"/>
          <w:bottom w:w="28" w:type="dxa"/>
          <w:right w:w="28" w:type="dxa"/>
        </w:tblCellMar>
      </w:tblPr>
      <w:tblGrid>
        <w:gridCol w:w="1876"/>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Moss Adams LLP</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Diego, California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10, 2025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bookmarkStart w:id="46" w:name="gfpex31_1_htm"/>
      <w:bookmarkEnd w:id="46"/>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lctx-ex23_2.htm"/>
      <w:bookmarkStart w:id="48" w:name="kslctxex23_2"/>
      <w:bookmarkEnd w:id="47"/>
      <w:bookmarkEnd w:id="48"/>
      <w:r>
        <w:rPr>
          <w:rFonts w:ascii="Times New Roman" w:hAnsi="Times New Roman"/>
          <w:b/>
          <w:color w:val="000000"/>
          <w:sz w:val="20"/>
        </w:rPr>
        <w:t>Exhibit 23.02</w:t>
      </w:r>
      <w:r>
        <w:br w:type="page"/>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(Registration Nos. 333-166862, 333-167822, 333-174282, 333-182964, 333-183557, 333-187710, 333-188066, 333-201824, 333-209000, 333-217182, 333-218807, 333-254155, 333-254167 and 333-277758), and Form S-8 (Registration Nos. 333-101651, 333-122844, 333-163396, 333-192531, 333-205661, 333-219204, 333-233132, 333-254158, 333-259853 and 333-275505) of Lineage Cell Therapeutics, Inc. of our report dated March 7, 2024, except for Note 15, as to which the date is March 10, 2025, relating to the consolidated financial statements of Lineage Cell Therapeutics, Inc. as of and for the year ended December 31, 2023, which appears in this Form 10-K.</w:t>
      </w:r>
    </w:p>
    <w:p>
      <w:pPr>
        <w:pStyle w:val="TextBody"/>
        <w:bidi w:val="0"/>
        <w:jc w:val="both"/>
        <w:rPr/>
      </w:pPr>
      <w:r>
        <w:rPr/>
        <w:t> </w:t>
      </w:r>
    </w:p>
    <w:tbl>
      <w:tblPr>
        <w:tblW w:w="2630" w:type="dxa"/>
        <w:jc w:val="left"/>
        <w:tblInd w:w="0" w:type="dxa"/>
        <w:tblLayout w:type="fixed"/>
        <w:tblCellMar>
          <w:top w:w="28" w:type="dxa"/>
          <w:left w:w="28" w:type="dxa"/>
          <w:bottom w:w="28" w:type="dxa"/>
          <w:right w:w="28" w:type="dxa"/>
        </w:tblCellMar>
      </w:tblPr>
      <w:tblGrid>
        <w:gridCol w:w="2476"/>
        <w:gridCol w:w="154"/>
      </w:tblGrid>
      <w:tr>
        <w:trPr/>
        <w:tc>
          <w:tcPr>
            <w:tcW w:w="2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WithumSmith+Brown, PC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Francisco, California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10, 2025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lctx-ex31_1.htm"/>
      <w:bookmarkStart w:id="50" w:name="kslctxex31_1"/>
      <w:bookmarkEnd w:id="49"/>
      <w:bookmarkEnd w:id="50"/>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10,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1" w:name="lctx-ex31_2.htm"/>
      <w:bookmarkStart w:id="52" w:name="kslctxex31_2"/>
      <w:bookmarkEnd w:id="51"/>
      <w:bookmarkEnd w:id="52"/>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annual report on Form 10-K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March 10, 2025</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53" w:name="gfpex32_1_htm"/>
      <w:bookmarkEnd w:id="53"/>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lctx-ex32_1.htm"/>
      <w:bookmarkStart w:id="55" w:name="kslctxex32_1"/>
      <w:bookmarkEnd w:id="54"/>
      <w:bookmarkEnd w:id="55"/>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Annual Report on Form 10-K of Lineage Cell Therapeutics, Inc. (the “Company”) for the year ended December 31, 2024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March 10,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876343/000149315218015405/ex2-1.htm" TargetMode="External"/><Relationship Id="rId10" Type="http://schemas.openxmlformats.org/officeDocument/2006/relationships/hyperlink" Target="https://www.sec.gov/Archives/edgar/data/876343/000149315218006559/ex3-1.htm" TargetMode="External"/><Relationship Id="rId11" Type="http://schemas.openxmlformats.org/officeDocument/2006/relationships/hyperlink" Target="https://www.sec.gov/Archives/edgar/data/876343/000149315219012036/ex3-1.htm" TargetMode="External"/><Relationship Id="rId12" Type="http://schemas.openxmlformats.org/officeDocument/2006/relationships/hyperlink" Target="https://www.sec.gov/Archives/edgar/data/876343/000149315219012036/ex3-2.htm" TargetMode="External"/><Relationship Id="rId13" Type="http://schemas.openxmlformats.org/officeDocument/2006/relationships/hyperlink" Target="https://www.sec.gov/Archives/edgar/data/876343/000095017024129402/lctx-ex4_1.htm" TargetMode="External"/><Relationship Id="rId14" Type="http://schemas.openxmlformats.org/officeDocument/2006/relationships/hyperlink" Target="https://www.sec.gov/Archives/edgar/data/876343/000095017024129402/lctx-ex4_3.htm" TargetMode="External"/><Relationship Id="rId15" Type="http://schemas.openxmlformats.org/officeDocument/2006/relationships/hyperlink" Target="https://www.sec.gov/Archives/edgar/data/876343/000149315222022085/ex10-1.htm" TargetMode="External"/><Relationship Id="rId16" Type="http://schemas.openxmlformats.org/officeDocument/2006/relationships/hyperlink" Target="https://www.sec.gov/Archives/edgar/data/876343/000149315222031359/ex10-2.htm" TargetMode="External"/><Relationship Id="rId17" Type="http://schemas.openxmlformats.org/officeDocument/2006/relationships/hyperlink" Target="https://www.sec.gov/Archives/edgar/data/876343/000095017024056998/lctx-ex10_1.htm" TargetMode="External"/><Relationship Id="rId18" Type="http://schemas.openxmlformats.org/officeDocument/2006/relationships/hyperlink" Target="https://www.sec.gov/Archives/edgar/data/876343/000149315222031359/ex10-3.htm" TargetMode="External"/><Relationship Id="rId19" Type="http://schemas.openxmlformats.org/officeDocument/2006/relationships/hyperlink" Target="https://www.sec.gov/Archives/edgar/data/876343/000095017024056998/lctx-ex10_3.htm" TargetMode="External"/><Relationship Id="rId20" Type="http://schemas.openxmlformats.org/officeDocument/2006/relationships/hyperlink" Target="https://www.sec.gov/Archives/edgar/data/876343/000149315223007129/ex10-07.htm" TargetMode="External"/><Relationship Id="rId21" Type="http://schemas.openxmlformats.org/officeDocument/2006/relationships/hyperlink" Target="https://www.sec.gov/Archives/edgar/data/876343/000149315223007129/ex10-07.htm" TargetMode="External"/><Relationship Id="rId22" Type="http://schemas.openxmlformats.org/officeDocument/2006/relationships/hyperlink" Target="https://www.sec.gov/Archives/edgar/data/876343/000149315219003335/ex10-18.htm" TargetMode="External"/><Relationship Id="rId23" Type="http://schemas.openxmlformats.org/officeDocument/2006/relationships/hyperlink" Target="https://www.sec.gov/Archives/edgar/data/876343/000114036115027545/ex4_1.htm" TargetMode="External"/><Relationship Id="rId24" Type="http://schemas.openxmlformats.org/officeDocument/2006/relationships/hyperlink" Target="https://www.sec.gov/Archives/edgar/data/876343/000149315217007613/ex4-2.htm" TargetMode="External"/><Relationship Id="rId25" Type="http://schemas.openxmlformats.org/officeDocument/2006/relationships/hyperlink" Target="https://www.sec.gov/Archives/edgar/data/876343/000149315219011912/ex99-3.htm" TargetMode="External"/><Relationship Id="rId26" Type="http://schemas.openxmlformats.org/officeDocument/2006/relationships/hyperlink" Target="https://www.sec.gov/Archives/edgar/data/876343/000149315219016930/ex10-1.htm" TargetMode="External"/><Relationship Id="rId27" Type="http://schemas.openxmlformats.org/officeDocument/2006/relationships/hyperlink" Target="https://www.sec.gov/Archives/edgar/data/876343/000114036113041885/ex10_7.htm" TargetMode="External"/><Relationship Id="rId28" Type="http://schemas.openxmlformats.org/officeDocument/2006/relationships/hyperlink" Target="https://www.sec.gov/Archives/edgar/data/876343/000114036113041885/ex10_8.htm" TargetMode="External"/><Relationship Id="rId29" Type="http://schemas.openxmlformats.org/officeDocument/2006/relationships/hyperlink" Target="https://www.sec.gov/Archives/edgar/data/876343/000149315219016930/ex10-2.htm" TargetMode="External"/><Relationship Id="rId30" Type="http://schemas.openxmlformats.org/officeDocument/2006/relationships/hyperlink" Target="https://www.sec.gov/Archives/edgar/data/876343/000149315220003818/ex10-6.htm" TargetMode="External"/><Relationship Id="rId31" Type="http://schemas.openxmlformats.org/officeDocument/2006/relationships/hyperlink" Target="https://www.sec.gov/Archives/edgar/data/876343/000149315221022765/ex10-1.htm" TargetMode="External"/><Relationship Id="rId32" Type="http://schemas.openxmlformats.org/officeDocument/2006/relationships/hyperlink" Target="https://www.sec.gov/Archives/edgar/data/876343/000149315223025680/formdef14a.htm" TargetMode="External"/><Relationship Id="rId33" Type="http://schemas.openxmlformats.org/officeDocument/2006/relationships/hyperlink" Target="https://www.sec.gov/Archives/edgar/data/876343/000149315221023990/ex99-2.htm" TargetMode="External"/><Relationship Id="rId34" Type="http://schemas.openxmlformats.org/officeDocument/2006/relationships/hyperlink" Target="https://www.sec.gov/Archives/edgar/data/876343/000149315221023990/ex99-3.htm" TargetMode="External"/><Relationship Id="rId35" Type="http://schemas.openxmlformats.org/officeDocument/2006/relationships/hyperlink" Target="https://www.sec.gov/Archives/edgar/data/876343/000149315221023990/ex99-4.htm" TargetMode="External"/><Relationship Id="rId36" Type="http://schemas.openxmlformats.org/officeDocument/2006/relationships/hyperlink" Target="https://www.sec.gov/Archives/edgar/data/876343/000149315222031359/ex10-5.htm" TargetMode="External"/><Relationship Id="rId37" Type="http://schemas.openxmlformats.org/officeDocument/2006/relationships/hyperlink" Target="https://www.sec.gov/Archives/edgar/data/876343/000114036108000966/ex10_1.htm" TargetMode="External"/><Relationship Id="rId38" Type="http://schemas.openxmlformats.org/officeDocument/2006/relationships/hyperlink" Target="https://www.sec.gov/Archives/edgar/data/876343/000087634309000009/ex10_38.htm" TargetMode="External"/><Relationship Id="rId39" Type="http://schemas.openxmlformats.org/officeDocument/2006/relationships/hyperlink" Target="https://www.sec.gov/Archives/edgar/data/876343/000114036117030912/ex10_2.htm" TargetMode="External"/><Relationship Id="rId40" Type="http://schemas.openxmlformats.org/officeDocument/2006/relationships/hyperlink" Target="https://www.sec.gov/Archives/edgar/data/876343/000149315218003416/ex10-38.htm" TargetMode="External"/><Relationship Id="rId41" Type="http://schemas.openxmlformats.org/officeDocument/2006/relationships/hyperlink" Target="https://www.sec.gov/Archives/edgar/data/876343/000149315222006520/ex10-4b.htm" TargetMode="External"/><Relationship Id="rId42" Type="http://schemas.openxmlformats.org/officeDocument/2006/relationships/hyperlink" Target="https://www.sec.gov/Archives/edgar/data/876343/000149315222006520/ex10-4c.htm" TargetMode="External"/><Relationship Id="rId43" Type="http://schemas.openxmlformats.org/officeDocument/2006/relationships/hyperlink" Target="https://www.sec.gov/Archives/edgar/data/876343/000149315222006520/ex10-4d.htm" TargetMode="External"/><Relationship Id="rId44" Type="http://schemas.openxmlformats.org/officeDocument/2006/relationships/hyperlink" Target="https://www.sec.gov/Archives/edgar/data/876343/000114036117030912/ex10_3.htm" TargetMode="External"/><Relationship Id="rId45" Type="http://schemas.openxmlformats.org/officeDocument/2006/relationships/hyperlink" Target="https://www.sec.gov/Archives/edgar/data/876343/000114036117030912/ex10_4.htm" TargetMode="External"/><Relationship Id="rId46" Type="http://schemas.openxmlformats.org/officeDocument/2006/relationships/hyperlink" Target="https://www.sec.gov/Archives/edgar/data/876343/000095017024129402/lctx-ex10_1.htm" TargetMode="External"/><Relationship Id="rId47" Type="http://schemas.openxmlformats.org/officeDocument/2006/relationships/hyperlink" Target="https://www.sec.gov/Archives/edgar/data/876343/000095017024129402/lctx-ex10_2.htm" TargetMode="External"/><Relationship Id="rId48" Type="http://schemas.openxmlformats.org/officeDocument/2006/relationships/hyperlink" Target="https://www.sec.gov/Archives/edgar/data/876343/000149315222006520/ex10-13.htm" TargetMode="External"/><Relationship Id="rId49" Type="http://schemas.openxmlformats.org/officeDocument/2006/relationships/hyperlink" Target="https://www.sec.gov/Archives/edgar/data/876343/000095017024027988/lctx-ex97.htm" TargetMode="External"/><Relationship Id="rId50" Type="http://schemas.openxmlformats.org/officeDocument/2006/relationships/image" Target="media/image8.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105901</Words>
  <Characters>592144</Characters>
  <CharactersWithSpaces>697657</CharactersWithSpaces>
  <Paragraphs>7659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