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lctx-20250630.htm"/>
      <w:bookmarkStart w:id="1" w:name="kslctx2025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pPr>
      <w:r>
        <w:rPr/>
        <w:t> </w:t>
      </w:r>
    </w:p>
    <w:tbl>
      <w:tblPr>
        <w:tblW w:w="9827" w:type="dxa"/>
        <w:jc w:val="left"/>
        <w:tblInd w:w="0" w:type="dxa"/>
        <w:tblLayout w:type="fixed"/>
        <w:tblCellMar>
          <w:top w:w="28" w:type="dxa"/>
          <w:left w:w="28" w:type="dxa"/>
          <w:bottom w:w="28" w:type="dxa"/>
          <w:right w:w="28" w:type="dxa"/>
        </w:tblCellMar>
      </w:tblPr>
      <w:tblGrid>
        <w:gridCol w:w="331"/>
        <w:gridCol w:w="9496"/>
      </w:tblGrid>
      <w:tr>
        <w:trPr/>
        <w:tc>
          <w:tcPr>
            <w:tcW w:w="331" w:type="dxa"/>
            <w:tcBorders/>
            <w:vAlign w:val="center"/>
          </w:tcPr>
          <w:p>
            <w:pPr>
              <w:pStyle w:val="TableContents"/>
              <w:bidi w:val="0"/>
              <w:spacing w:before="0" w:after="283"/>
              <w:jc w:val="left"/>
              <w:rPr>
                <w:sz w:val="4"/>
                <w:szCs w:val="4"/>
              </w:rPr>
            </w:pPr>
            <w:r>
              <w:rPr>
                <w:sz w:val="4"/>
                <w:szCs w:val="4"/>
              </w:rPr>
            </w:r>
          </w:p>
        </w:tc>
        <w:tc>
          <w:tcPr>
            <w:tcW w:w="949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color w:val="000000"/>
              </w:rPr>
            </w:pPr>
            <w:r>
              <w:rPr>
                <w:color w:val="000000"/>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 the quarterly period ended June 30,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OR</w:t>
      </w:r>
    </w:p>
    <w:p>
      <w:pPr>
        <w:pStyle w:val="TextBody"/>
        <w:bidi w:val="0"/>
        <w:jc w:val="center"/>
        <w:rPr/>
      </w:pPr>
      <w:r>
        <w:rPr/>
        <w:t> </w:t>
      </w:r>
    </w:p>
    <w:tbl>
      <w:tblPr>
        <w:tblW w:w="9797" w:type="dxa"/>
        <w:jc w:val="left"/>
        <w:tblInd w:w="0" w:type="dxa"/>
        <w:tblLayout w:type="fixed"/>
        <w:tblCellMar>
          <w:top w:w="28" w:type="dxa"/>
          <w:left w:w="28" w:type="dxa"/>
          <w:bottom w:w="28" w:type="dxa"/>
          <w:right w:w="28" w:type="dxa"/>
        </w:tblCellMar>
      </w:tblPr>
      <w:tblGrid>
        <w:gridCol w:w="331"/>
        <w:gridCol w:w="9466"/>
      </w:tblGrid>
      <w:tr>
        <w:trPr/>
        <w:tc>
          <w:tcPr>
            <w:tcW w:w="331"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TRANSITION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 the transition period from _________ to ________</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0"/>
        </w:rPr>
        <w:t xml:space="preserve">Commission file number </w:t>
      </w:r>
      <w:r>
        <w:rPr>
          <w:rFonts w:ascii="Times New Roman" w:hAnsi="Times New Roman"/>
          <w:b/>
          <w:color w:val="000000"/>
          <w:sz w:val="20"/>
        </w:rPr>
        <w:t>001-12830</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Lineage Cell Therapeutics,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tbl>
      <w:tblPr>
        <w:tblW w:w="4341" w:type="dxa"/>
        <w:jc w:val="left"/>
        <w:tblInd w:w="0" w:type="dxa"/>
        <w:tblLayout w:type="fixed"/>
        <w:tblCellMar>
          <w:top w:w="28" w:type="dxa"/>
          <w:left w:w="28" w:type="dxa"/>
          <w:bottom w:w="28" w:type="dxa"/>
          <w:right w:w="28" w:type="dxa"/>
        </w:tblCellMar>
      </w:tblPr>
      <w:tblGrid>
        <w:gridCol w:w="2581"/>
        <w:gridCol w:w="109"/>
        <w:gridCol w:w="1651"/>
      </w:tblGrid>
      <w:tr>
        <w:trPr/>
        <w:tc>
          <w:tcPr>
            <w:tcW w:w="2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California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94-3127919</w:t>
            </w:r>
          </w:p>
        </w:tc>
      </w:tr>
      <w:tr>
        <w:trPr/>
        <w:tc>
          <w:tcPr>
            <w:tcW w:w="258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 of</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(IRS Employer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2173 Salk Avenue, Suite 200</w:t>
      </w:r>
    </w:p>
    <w:p>
      <w:pPr>
        <w:pStyle w:val="TextBody"/>
        <w:bidi w:val="0"/>
        <w:jc w:val="center"/>
        <w:rPr>
          <w:rFonts w:ascii="Times New Roman" w:hAnsi="Times New Roman"/>
          <w:sz w:val="20"/>
        </w:rPr>
      </w:pPr>
      <w:r>
        <w:rPr>
          <w:rFonts w:ascii="Times New Roman" w:hAnsi="Times New Roman"/>
          <w:b/>
          <w:color w:val="000000"/>
          <w:sz w:val="20"/>
        </w:rPr>
        <w:t>Carlsbad, California</w:t>
      </w:r>
      <w:r>
        <w:rPr>
          <w:rFonts w:ascii="Times New Roman" w:hAnsi="Times New Roman"/>
          <w:color w:val="000000"/>
          <w:sz w:val="20"/>
        </w:rPr>
        <w:t xml:space="preserve"> </w:t>
      </w:r>
      <w:r>
        <w:rPr>
          <w:rFonts w:ascii="Times New Roman" w:hAnsi="Times New Roman"/>
          <w:b/>
          <w:color w:val="000000"/>
          <w:sz w:val="20"/>
        </w:rPr>
        <w:t>92008</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 (442) 287-8990</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6506" w:type="dxa"/>
        <w:jc w:val="left"/>
        <w:tblInd w:w="0" w:type="dxa"/>
        <w:tblLayout w:type="fixed"/>
        <w:tblCellMar>
          <w:top w:w="28" w:type="dxa"/>
          <w:left w:w="28" w:type="dxa"/>
          <w:bottom w:w="28" w:type="dxa"/>
          <w:right w:w="28" w:type="dxa"/>
        </w:tblCellMar>
      </w:tblPr>
      <w:tblGrid>
        <w:gridCol w:w="1576"/>
        <w:gridCol w:w="109"/>
        <w:gridCol w:w="1426"/>
        <w:gridCol w:w="109"/>
        <w:gridCol w:w="3286"/>
      </w:tblGrid>
      <w:tr>
        <w:trPr/>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15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exchange on which registered</w:t>
            </w:r>
          </w:p>
        </w:tc>
      </w:tr>
      <w:tr>
        <w:trPr/>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shares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LCTX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NYSE American LLC</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32" w:type="dxa"/>
        <w:jc w:val="left"/>
        <w:tblInd w:w="0" w:type="dxa"/>
        <w:tblLayout w:type="fixed"/>
        <w:tblCellMar>
          <w:top w:w="28" w:type="dxa"/>
          <w:left w:w="28" w:type="dxa"/>
          <w:bottom w:w="28" w:type="dxa"/>
          <w:right w:w="28" w:type="dxa"/>
        </w:tblCellMar>
      </w:tblPr>
      <w:tblGrid>
        <w:gridCol w:w="2551"/>
        <w:gridCol w:w="2581"/>
      </w:tblGrid>
      <w:tr>
        <w:trPr/>
        <w:tc>
          <w:tcPr>
            <w:tcW w:w="255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 ☐</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 ☒</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 ☐</w:t>
            </w:r>
          </w:p>
        </w:tc>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 Yes ☒ No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number of common shares outstanding as of August 6, 2025 was 228,356,290.</w:t>
      </w:r>
    </w:p>
    <w:p>
      <w:pPr>
        <w:pStyle w:val="TextBody"/>
        <w:pBdr>
          <w:bottom w:val="double" w:sz="6" w:space="1" w:color="000000"/>
        </w:pBdr>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p>
      <w:pPr>
        <w:pStyle w:val="TextBody"/>
        <w:bidi w:val="0"/>
        <w:jc w:val="left"/>
        <w:rPr/>
      </w:pPr>
      <w:r>
        <w:rPr/>
        <w:t> </w:t>
      </w:r>
    </w:p>
    <w:tbl>
      <w:tblPr>
        <w:tblW w:w="9348" w:type="dxa"/>
        <w:jc w:val="left"/>
        <w:tblInd w:w="0" w:type="dxa"/>
        <w:tblLayout w:type="fixed"/>
        <w:tblCellMar>
          <w:top w:w="28" w:type="dxa"/>
          <w:left w:w="28" w:type="dxa"/>
          <w:bottom w:w="28" w:type="dxa"/>
          <w:right w:w="28" w:type="dxa"/>
        </w:tblCellMar>
      </w:tblPr>
      <w:tblGrid>
        <w:gridCol w:w="826"/>
        <w:gridCol w:w="8011"/>
        <w:gridCol w:w="511"/>
      </w:tblGrid>
      <w:tr>
        <w:trPr/>
        <w:tc>
          <w:tcPr>
            <w:tcW w:w="826" w:type="dxa"/>
            <w:tcBorders/>
            <w:vAlign w:val="center"/>
          </w:tcPr>
          <w:p>
            <w:pPr>
              <w:pStyle w:val="TableContents"/>
              <w:bidi w:val="0"/>
              <w:spacing w:before="0" w:after="283"/>
              <w:jc w:val="left"/>
              <w:rPr>
                <w:sz w:val="4"/>
                <w:szCs w:val="4"/>
              </w:rPr>
            </w:pPr>
            <w:r>
              <w:rPr>
                <w:sz w:val="4"/>
                <w:szCs w:val="4"/>
              </w:rPr>
            </w:r>
          </w:p>
        </w:tc>
        <w:tc>
          <w:tcPr>
            <w:tcW w:w="80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120" w:after="283"/>
              <w:jc w:val="center"/>
              <w:rPr>
                <w:rFonts w:ascii="Times New Roman" w:hAnsi="Times New Roman"/>
                <w:b/>
                <w:color w:val="000000"/>
                <w:sz w:val="16"/>
              </w:rPr>
            </w:pPr>
            <w:r>
              <w:rPr>
                <w:rFonts w:ascii="Times New Roman" w:hAnsi="Times New Roman"/>
                <w:b/>
                <w:color w:val="000000"/>
                <w:sz w:val="16"/>
              </w:rPr>
              <w:t>Page</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PART I.</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item_1_financial_statements">
              <w:r>
                <w:rPr>
                  <w:rStyle w:val="InternetLink"/>
                  <w:rFonts w:ascii="Times New Roman" w:hAnsi="Times New Roman"/>
                  <w:color w:val="0000FF"/>
                  <w:sz w:val="20"/>
                  <w:u w:val="single"/>
                </w:rPr>
                <w:t>Financial Statements (Unaudited)</w:t>
              </w:r>
            </w:hyperlink>
            <w:hyperlink w:anchor="item_1_financial_statement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solidated_statements_of_operations">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6</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solidated_statements_comp_loss">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7</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solidated_statements_of_equity">
              <w:r>
                <w:rPr>
                  <w:rStyle w:val="InternetLink"/>
                  <w:rFonts w:ascii="Times New Roman" w:hAnsi="Times New Roman"/>
                  <w:color w:val="0000FF"/>
                  <w:sz w:val="20"/>
                  <w:u w:val="single"/>
                </w:rPr>
                <w:t>Condensed Consolidated Statements of Changes in Shareholders'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8</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solidated_statements_of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10</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notes_to_the_consolidated_financial">
              <w:r>
                <w:rPr>
                  <w:rStyle w:val="InternetLink"/>
                  <w:rFonts w:ascii="Times New Roman" w:hAnsi="Times New Roman"/>
                  <w:color w:val="0000FF"/>
                  <w:sz w:val="20"/>
                  <w:u w:val="single"/>
                </w:rPr>
                <w:t>Notes to the Condensed Consolidated Interim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11</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2.</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item_2_mda">
              <w:r>
                <w:rPr>
                  <w:rStyle w:val="InternetLink"/>
                  <w:rFonts w:ascii="Times New Roman" w:hAnsi="Times New Roman"/>
                  <w:color w:val="0000FF"/>
                  <w:sz w:val="20"/>
                  <w:u w:val="single"/>
                </w:rPr>
                <w:t>Management’s Discussion and Analysis of Financial Condition and Result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30</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3.</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item_3">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38</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4.</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item_4">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38</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PART II.</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39</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1">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39</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1A.</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1a">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39</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2.</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2">
              <w:r>
                <w:rPr>
                  <w:rStyle w:val="InternetLink"/>
                  <w:rFonts w:ascii="Times New Roman" w:hAnsi="Times New Roman"/>
                  <w:color w:val="0000FF"/>
                  <w:sz w:val="20"/>
                  <w:u w:val="single"/>
                </w:rPr>
                <w:t>Unregistered Sales of Equity Securities, Use of Proceeds, and Issuer Purchases of Equity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39</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3.</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3">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39</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4.</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4">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39</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5.</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5">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39</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6.</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6">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40</w:t>
            </w:r>
          </w:p>
        </w:tc>
      </w:tr>
      <w:tr>
        <w:trPr/>
        <w:tc>
          <w:tcPr>
            <w:tcW w:w="8837" w:type="dxa"/>
            <w:gridSpan w:val="2"/>
            <w:tcBorders/>
            <w:shd w:fill="FFFFFF" w:val="clear"/>
            <w:tcMar>
              <w:top w:w="0" w:type="dxa"/>
              <w:left w:w="0" w:type="dxa"/>
              <w:bottom w:w="0" w:type="dxa"/>
              <w:right w:w="0" w:type="dxa"/>
            </w:tcMar>
            <w:vAlign w:val="center"/>
          </w:tcPr>
          <w:p>
            <w:pPr>
              <w:pStyle w:val="TableContents"/>
              <w:bidi w:val="0"/>
              <w:spacing w:before="12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41</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special_note_regarding_forward_looking"/>
      <w:bookmarkEnd w:id="2"/>
      <w:r>
        <w:rPr>
          <w:rFonts w:ascii="Times New Roman" w:hAnsi="Times New Roman"/>
          <w:b/>
          <w:color w:val="000000"/>
          <w:sz w:val="20"/>
        </w:rPr>
        <w:t>SPECIAL NOTE REGARDING 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report contains forward-looking statements within the meaning of Section 27A of the Securities Act of 1933, as amended, and Section 21E of the Securities Exchange Act of 1934, as amended (the “Exchange Act”), that involve substantial risks and uncertainties. The forward-looking statements are contained principally in Part I, Item 2. “Management’s Discussion and Analysis of Financial Condition and Results of Operations” of this report, but are also contained elsewhere in this report. We make such forward-looking statements pursuant to the safe harbor provisions of the Private Securities Litigation Reform Act of 1995 and other federal securities laws. All statements other than statements of historical fact contained in this report are forward-looking statements.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Forward-looking statements in this report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to receive developmental, regulatory, and commercialization milestone and royalty payments under our Collaboration and License Agreement with F. Hoffmann-La Roche Ltd and Genentech, Inc.;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continued ability to successfully manufacture our product candidates in a reproducible, scalable, and cost-effective manner, for clinical development and, if approved, for commercialization, including our future capability of producing several million doses of OpRegen;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leverage our expertise to produce a cost-effective, scalable, and consistent supply of allogeneic cell transplant product candidates for ourselves and others, including for indications requiring large cell doses;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research, develop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progress, success, cost and timing of our clinical trials and other product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therapeutic potential of our product candidates, and the indications for which we intend to develop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of our cell therapy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additional capital to fund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that holders of outstanding warrants to purchase our common shares will exercise such warrants on a cash basis;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and plans regarding existing and potential future collaborations with third parties such as pharmaceutical and biotechnology companies, government agencies, academic laboratories, and research institutes for the discovery, development, and/or commercialization of novel cell therapy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growth of the potential markets for our product candidates and our ability to serve those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scope and value of our intellectual property rights;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effects on our operations of the Israeli regional conflict and broader regional conflict, other geopolitical conflicts, political and economic uncertainty, rising inflation and interest rates, and other macroeconomic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reflect our views and expectations as of the date of this report about future events and our future performance and condition, and involve known and unknown risks, uncertainties and other factors that may cause our actual activities, performance, results or condition to be materially different from those expressed or implied by the forward-looking statements. You should refer to “Item 1A. Risk Factors” in Part II of this report and in Part I of our Annual Report on Form 10-K for the fiscal year ended December 31, 2024 (the “2024 10-K”) as filed with the Securities and Exchange Commission (the “SEC”) on March 10, 2025, for a discussion of important factors that may cause our actual activities, performance, results and condition to differ materially from those expressed or implied by our forward-looking statements. As a result of a variety of factors, including those discussed in Item 1A. Risk Factors in Part II of this report and in Part I of the 2024 10-K, our forward-looking statements may prove to be inaccurate, and the inaccuracy may be material. Accordingly, you should not place undue reliance on any forward-looking statement. We anticipate that subsequent events and developments may cause our current views and expectations to change. However, while we may elect to update the forward-looking statements in this report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after the date of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should read this report and the documents that we reference in this report completely and with the understanding that our actual future performance, results and condition may be materially different from what we expect. We qualify all of our forward-looking statements by these cautionary statements.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3" w:name="market_data_and_trademarks"/>
      <w:bookmarkEnd w:id="3"/>
      <w:r>
        <w:rPr>
          <w:rFonts w:ascii="Times New Roman" w:hAnsi="Times New Roman"/>
          <w:b/>
          <w:color w:val="000000"/>
          <w:sz w:val="20"/>
        </w:rPr>
        <w:t>MARKET DATA AND TRADEMARKS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report also contains market data, industry forecasts and other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All brand names or trademarks appearing in this report are the property of their respective owners. Solely for convenience, the trademarks and trade names in this report may be referred to without the symbols </w:t>
      </w:r>
      <w:r>
        <w:rPr>
          <w:rFonts w:ascii="Times New Roman" w:hAnsi="Times New Roman"/>
          <w:color w:val="000000"/>
          <w:sz w:val="13"/>
        </w:rPr>
        <w:t>®</w:t>
      </w:r>
      <w:r>
        <w:rPr>
          <w:rFonts w:ascii="Times New Roman" w:hAnsi="Times New Roman"/>
          <w:color w:val="000000"/>
          <w:sz w:val="20"/>
        </w:rPr>
        <w:t xml:space="preserve"> and </w:t>
      </w:r>
      <w:r>
        <w:rPr>
          <w:rFonts w:ascii="Times New Roman" w:hAnsi="Times New Roman"/>
          <w:color w:val="000000"/>
          <w:sz w:val="13"/>
        </w:rPr>
        <w:t>TM</w:t>
      </w:r>
      <w:r>
        <w:rPr>
          <w:rFonts w:ascii="Times New Roman" w:hAnsi="Times New Roman"/>
          <w:color w:val="000000"/>
          <w:sz w:val="20"/>
        </w:rPr>
        <w:t xml:space="preserve">, but such references should not be construed as any indication that their respective owners will not assert, to the fullest extent under applicable law, their rights thereto.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Unless otherwise stated or the context requires otherwise, references in this report to “Lineage,” the “Company,” “our company,” “we,” “us,” and “our” refer collectively to Lineage Cell Therapeutics, Inc. and its consolidated subsidiaries.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art_i"/>
      <w:bookmarkEnd w:id="4"/>
      <w:r>
        <w:rPr>
          <w:rFonts w:ascii="Times New Roman" w:hAnsi="Times New Roman"/>
          <w:b/>
          <w:color w:val="000000"/>
          <w:sz w:val="20"/>
        </w:rPr>
        <w:t>PART I – FINANCIAL INFORMATION</w:t>
      </w:r>
    </w:p>
    <w:p>
      <w:pPr>
        <w:pStyle w:val="TextBody"/>
        <w:bidi w:val="0"/>
        <w:spacing w:before="240" w:after="283"/>
        <w:jc w:val="both"/>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6" w:name="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514"/>
        <w:gridCol w:w="246"/>
        <w:gridCol w:w="224"/>
        <w:gridCol w:w="899"/>
        <w:gridCol w:w="166"/>
        <w:gridCol w:w="246"/>
        <w:gridCol w:w="300"/>
        <w:gridCol w:w="1196"/>
        <w:gridCol w:w="414"/>
      </w:tblGrid>
      <w:tr>
        <w:trPr/>
        <w:tc>
          <w:tcPr>
            <w:tcW w:w="65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9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 and other long-term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113,218</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9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13,977</w:t>
            </w:r>
          </w:p>
        </w:tc>
        <w:tc>
          <w:tcPr>
            <w:tcW w:w="414"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4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 net of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 net of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shares, no par value, 2,000 shares authorized; none issued and </w:t>
              <w:br/>
              <w:t>   outstanding as of June 30, 2025 and December 31, 2024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shares, no par value, 450,000 shares authorized as of </w:t>
              <w:br/>
              <w:t xml:space="preserve">   June 30, 2025 and December 31, 2024; 228,356 and 220,416 shares issued </w:t>
              <w:br/>
              <w:t>   and outstanding as of June 30, 2025 and December 31, 2024, respectively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484,722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(403,465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Lineage's shareholders’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78,381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113,218</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7" w:name="consolidated_statements_of_operations"/>
      <w:bookmarkEnd w:id="7"/>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64"/>
        <w:gridCol w:w="146"/>
        <w:gridCol w:w="211"/>
        <w:gridCol w:w="781"/>
        <w:gridCol w:w="166"/>
        <w:gridCol w:w="146"/>
        <w:gridCol w:w="211"/>
        <w:gridCol w:w="781"/>
        <w:gridCol w:w="166"/>
        <w:gridCol w:w="146"/>
        <w:gridCol w:w="211"/>
        <w:gridCol w:w="781"/>
        <w:gridCol w:w="166"/>
        <w:gridCol w:w="146"/>
        <w:gridCol w:w="211"/>
        <w:gridCol w:w="781"/>
        <w:gridCol w:w="391"/>
      </w:tblGrid>
      <w:tr>
        <w:trPr/>
        <w:tc>
          <w:tcPr>
            <w:tcW w:w="4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Royalties, license and 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impairment of intangible asset (Note 6 and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marketable equity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transaction gain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LINEAGE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attributable to Lineage</w:t>
              <w:br/>
              <w:t>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common shares used to compute basic and </w:t>
              <w:br/>
              <w:t>   diluted 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8" w:name="consolidated_statements_comp_loss"/>
      <w:bookmarkEnd w:id="8"/>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29"/>
        <w:gridCol w:w="146"/>
        <w:gridCol w:w="211"/>
        <w:gridCol w:w="736"/>
        <w:gridCol w:w="166"/>
        <w:gridCol w:w="146"/>
        <w:gridCol w:w="211"/>
        <w:gridCol w:w="631"/>
        <w:gridCol w:w="166"/>
        <w:gridCol w:w="146"/>
        <w:gridCol w:w="211"/>
        <w:gridCol w:w="736"/>
        <w:gridCol w:w="166"/>
        <w:gridCol w:w="146"/>
        <w:gridCol w:w="211"/>
        <w:gridCol w:w="736"/>
        <w:gridCol w:w="311"/>
      </w:tblGrid>
      <w:tr>
        <w:trPr/>
        <w:tc>
          <w:tcPr>
            <w:tcW w:w="51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1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Comprehensive (income) loss attributable to </w:t>
              <w:br/>
              <w:t>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COMPREHENSIVE LOSS ATTRIBUTABLE TO LINEAGE </w:t>
              <w:br/>
              <w:t>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9" w:name="consolidated_statements_of_equity"/>
      <w:bookmarkEnd w:id="9"/>
      <w:r>
        <w:rPr>
          <w:rFonts w:ascii="Times New Roman" w:hAnsi="Times New Roman"/>
          <w:b/>
          <w:color w:val="000000"/>
          <w:sz w:val="20"/>
        </w:rPr>
        <w:t>CONDENSED CONSOLIDATED STATEMENTS OF CHANGES IN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77"/>
        <w:gridCol w:w="146"/>
        <w:gridCol w:w="146"/>
        <w:gridCol w:w="781"/>
        <w:gridCol w:w="146"/>
        <w:gridCol w:w="146"/>
        <w:gridCol w:w="211"/>
        <w:gridCol w:w="781"/>
        <w:gridCol w:w="146"/>
        <w:gridCol w:w="146"/>
        <w:gridCol w:w="211"/>
        <w:gridCol w:w="841"/>
        <w:gridCol w:w="166"/>
        <w:gridCol w:w="146"/>
        <w:gridCol w:w="300"/>
        <w:gridCol w:w="901"/>
        <w:gridCol w:w="166"/>
        <w:gridCol w:w="146"/>
        <w:gridCol w:w="304"/>
        <w:gridCol w:w="912"/>
        <w:gridCol w:w="166"/>
        <w:gridCol w:w="146"/>
        <w:gridCol w:w="236"/>
        <w:gridCol w:w="826"/>
        <w:gridCol w:w="312"/>
      </w:tblGrid>
      <w:tr>
        <w:trPr/>
        <w:tc>
          <w:tcPr>
            <w:tcW w:w="1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9893"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489,313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77,655</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(30,364</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490,551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(438,068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47,112</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59"/>
        <w:gridCol w:w="146"/>
        <w:gridCol w:w="146"/>
        <w:gridCol w:w="781"/>
        <w:gridCol w:w="146"/>
        <w:gridCol w:w="146"/>
        <w:gridCol w:w="211"/>
        <w:gridCol w:w="781"/>
        <w:gridCol w:w="166"/>
        <w:gridCol w:w="146"/>
        <w:gridCol w:w="211"/>
        <w:gridCol w:w="841"/>
        <w:gridCol w:w="166"/>
        <w:gridCol w:w="146"/>
        <w:gridCol w:w="300"/>
        <w:gridCol w:w="901"/>
        <w:gridCol w:w="166"/>
        <w:gridCol w:w="146"/>
        <w:gridCol w:w="304"/>
        <w:gridCol w:w="912"/>
        <w:gridCol w:w="166"/>
        <w:gridCol w:w="146"/>
        <w:gridCol w:w="252"/>
        <w:gridCol w:w="808"/>
        <w:gridCol w:w="312"/>
      </w:tblGrid>
      <w:tr>
        <w:trPr/>
        <w:tc>
          <w:tcPr>
            <w:tcW w:w="1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9893"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2024</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70,990</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through ATM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related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(5,773</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188,824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467,928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66,875</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61"/>
        <w:gridCol w:w="146"/>
        <w:gridCol w:w="146"/>
        <w:gridCol w:w="781"/>
        <w:gridCol w:w="146"/>
        <w:gridCol w:w="146"/>
        <w:gridCol w:w="211"/>
        <w:gridCol w:w="781"/>
        <w:gridCol w:w="166"/>
        <w:gridCol w:w="146"/>
        <w:gridCol w:w="211"/>
        <w:gridCol w:w="841"/>
        <w:gridCol w:w="166"/>
        <w:gridCol w:w="146"/>
        <w:gridCol w:w="300"/>
        <w:gridCol w:w="901"/>
        <w:gridCol w:w="166"/>
        <w:gridCol w:w="146"/>
        <w:gridCol w:w="304"/>
        <w:gridCol w:w="912"/>
        <w:gridCol w:w="166"/>
        <w:gridCol w:w="146"/>
        <w:gridCol w:w="235"/>
        <w:gridCol w:w="822"/>
        <w:gridCol w:w="313"/>
      </w:tblGrid>
      <w:tr>
        <w:trPr/>
        <w:tc>
          <w:tcPr>
            <w:tcW w:w="1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989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77,012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through registered direct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related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Shares issued upon vesting of restricted stock units, </w:t>
              <w:br/>
              <w:t>   net of shares retired to pay employees’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(34,507</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490,551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(438,068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47,112</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61"/>
        <w:gridCol w:w="146"/>
        <w:gridCol w:w="146"/>
        <w:gridCol w:w="781"/>
        <w:gridCol w:w="146"/>
        <w:gridCol w:w="146"/>
        <w:gridCol w:w="211"/>
        <w:gridCol w:w="781"/>
        <w:gridCol w:w="166"/>
        <w:gridCol w:w="146"/>
        <w:gridCol w:w="211"/>
        <w:gridCol w:w="841"/>
        <w:gridCol w:w="166"/>
        <w:gridCol w:w="146"/>
        <w:gridCol w:w="300"/>
        <w:gridCol w:w="901"/>
        <w:gridCol w:w="166"/>
        <w:gridCol w:w="146"/>
        <w:gridCol w:w="304"/>
        <w:gridCol w:w="912"/>
        <w:gridCol w:w="166"/>
        <w:gridCol w:w="146"/>
        <w:gridCol w:w="235"/>
        <w:gridCol w:w="822"/>
        <w:gridCol w:w="313"/>
      </w:tblGrid>
      <w:tr>
        <w:trPr/>
        <w:tc>
          <w:tcPr>
            <w:tcW w:w="1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989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2024</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451,343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(384,856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62,023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through registered direct financings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through ATM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Shares issued upon vesting of restricted stock units, </w:t>
              <w:br/>
              <w:t>   net of shares retired to pay employees’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(12,331</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188,824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467,928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66,875</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10" w:name="consolidated_statements_of_cash_flows"/>
      <w:bookmarkEnd w:id="10"/>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22"/>
        <w:gridCol w:w="146"/>
        <w:gridCol w:w="196"/>
        <w:gridCol w:w="661"/>
        <w:gridCol w:w="166"/>
        <w:gridCol w:w="146"/>
        <w:gridCol w:w="196"/>
        <w:gridCol w:w="661"/>
        <w:gridCol w:w="411"/>
      </w:tblGrid>
      <w:tr>
        <w:trPr/>
        <w:tc>
          <w:tcPr>
            <w:tcW w:w="7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Lineage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Adjustments to reconcile net loss attributable to Lineage Cell Therapeutics, Inc. </w:t>
              <w:br/>
              <w:t>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costs for common stock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impairment of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marketable equity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Accretion of income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right-of-use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remeasurement and other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the sale of 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Maturities of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employee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shares received and retired for employee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 of common shares under ATM,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 of common shares under registered direct financing,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 of common shares with warrants under registered direct financing,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financed insurance premium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NET INCREASE IN CASH, CASH EQUIVALENTS AND </w:t>
              <w:br/>
              <w: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At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At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30,170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SUPPLEMENTAL SCHEDULE OF NON-CASH FINANCING AND </w:t>
              <w:br/>
              <w:t>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expenditures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 of warrant liability recognized upon issuance in registered direct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Restricted cash included in deposits and other long-term assets </w:t>
              <w:br/>
              <w:t>   (see Note 13 (Commitments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30,170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11" w:name="notes_to_the_consolidated_financial"/>
      <w:bookmarkEnd w:id="11"/>
      <w:r>
        <w:rPr>
          <w:rFonts w:ascii="Times New Roman" w:hAnsi="Times New Roman"/>
          <w:b/>
          <w:color w:val="000000"/>
          <w:sz w:val="20"/>
        </w:rPr>
        <w:t>NOTES TO THE CONDENSED CONSOLIDATED INTERIM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Organization, Basis of Presentation and Liquidity</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a clinical-stage biotechnology company developing novel allogeneic, or "off-the-shelf," cell therapies for serious neurological and ophthalmic conditions. Our programs are based on our proprietary, cell-based technology platform and associated development, formulation, manufacturing and delivery capabilities. From this platform, we design, develop, manufacture, and test specialized human cells with anatomical and physiological functions similar or identical to cells found naturally in the human body. The cells we manufacture are produced by applying directed differentiation processes to established, well-characterized, and self-renewing pluripotent cell lines. These processes are based on specific developmental lineages and generate cells with desired characteristics. Functional cells developed from such lineages that are relevant to the underlying condition are transplanted into patients in an effort to (a) </w:t>
      </w:r>
      <w:r>
        <w:rPr>
          <w:rFonts w:ascii="Times New Roman" w:hAnsi="Times New Roman"/>
          <w:i/>
          <w:color w:val="000000"/>
          <w:sz w:val="20"/>
        </w:rPr>
        <w:t>replace</w:t>
      </w:r>
      <w:r>
        <w:rPr>
          <w:rFonts w:ascii="Times New Roman" w:hAnsi="Times New Roman"/>
          <w:color w:val="000000"/>
          <w:sz w:val="20"/>
        </w:rPr>
        <w:t xml:space="preserve"> or support cells that are absent or dysfunctional due to degenerative disease, aging, or traumatic injury, and (b) </w:t>
      </w:r>
      <w:r>
        <w:rPr>
          <w:rFonts w:ascii="Times New Roman" w:hAnsi="Times New Roman"/>
          <w:i/>
          <w:color w:val="000000"/>
          <w:sz w:val="20"/>
        </w:rPr>
        <w:t>restore</w:t>
      </w:r>
      <w:r>
        <w:rPr>
          <w:rFonts w:ascii="Times New Roman" w:hAnsi="Times New Roman"/>
          <w:color w:val="000000"/>
          <w:sz w:val="20"/>
        </w:rPr>
        <w:t xml:space="preserve"> or enhance the patient's functional activity. Our business strategy is to efficiently leverage our technology platform and our development and manufacturing capabilities to advance our programs internally or in conjunction with strategic partners to further enhance their value and probability of success.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Scalable, cost-effective manufacturing can help make cell therapies affordable for a wider patient population. We believe a significant challenge facing the cell therapy field, and a necessary component of successful allogeneic cell therapy commercialization, is the ability to create, at scale and in a cost-effective manner, the desired cell product from a single cell line with the purity, potency, and production scale implied by an “off-the-shelf” product. The complex process for such a cost-effective and scaled production can be achieved by employing a current Good Manufacturing Practice, or cGMP, compliant and genetically stable cell banking system, which can provide an abundant and consistent supply of material for downstream production. A vial from a stable cGMP master cell bank created from a single, well-characterized pluripotent cell line can be the source of a cGMP working cell bank, which thereafter generates hundreds or thousands of vials of a final cell-based product comprised of millions of cells per vial. Utilizing a two-tier banking system can enable significant amplification of starting material, thereby being capable of providing a reliable, consistent, and permanent supply to the subsequent production campaigns that generate the final product, producing even millions of vials from the original initial bank.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previously completed a cGMP production run for each of OpRegen and OPC1, two of our product candidates, from such a customized, two-tiered cGMP cell banking system. In total, we have to date produced unique cGMP banking systems for three of our product candidates, the third being ANP1. We therefore believe we have reduced to practice and demonstrated a reproducible and scalable cGMP cell therapy production capability with the purity, potency, and production scale implied by an “off the shelf” allogeneic product. We plan to leverage this expertise to produce a cost-effective, scalable, and consistent supply of allogeneic cell transplant product candidates for ourselves and others, including for indications requiring large cell doses or large patient populations. We expect the cell banks we have manufactured will support a production capability exceeding the reasonably foreseeable number of patients with the conditions that OpRegen and OPC1 are currently intended to address (each of which we currently expect to be a single-administration dose) without requiring the manufacture of a new starting master cell bank.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lead cell therapy program, known as OpRegen®, is being developed for the treatment of ocular disorders, including geographic atrophy (“GA”) secondary to age-related macular degeneration (“AMD”) under a collaboration we entered into with F. Hoffmann-La Roche Ltd and Genentech, Inc., a member of the Roche Group (collectively or individually, “Roche” or “Genentech”). OpRegen (also known as RG6501) is a suspension of human allogeneic retinal pigmented epithelial (“RPE”) cells and is currently being evaluated in a Phase 2a multicenter clinical trial in patients with GA secondary to AMD which is referred to as the “GAlette Study”. OpRegen subretinal delivery has the potential to counteract RPE cell loss in areas of GA lesions by supporting retinal cell health and improving retinal structure and function. Under the terms of the Collaboration and License Agreement we entered into with Roche in December 2021 (the “Roche Agreement”), we received a $50.0 million upfront payment in January 2022 and are eligible to receive up to an additional $620.0 million in developmental, regulatory, and commercialization milestone payments. We also are eligible to receive tiered double-digit percentage royalties on net sales of OpRegen in the U.S. and other major markets. In May 2024, we entered into an additional agreement with Genentech (“Services Agreement”) pursuant to which we agreed to provide Genentech with supplemental clinical, technical, training, manufacturing, and procurement services that support the ongoing advancement of the OpRegen program in exchange for certain payments. In September 2024, Roche and Genentech announced receipt of Regenerative Medicine Advanced Therapy (“RMAT”) designation from the U.S. Food and Drug Administration (“FDA”) for OpRegen for the treatment of GA secondary to dry AMD. In June 2025, Roche and Genentech presented positive 36-month visual acuity results at Clinical Trials at The Summit 2025, from the Lineage-run Phase 1/2a clinical trial of OpRegen. The presentation showed that (i) gains in Best Corrected Visual Acuity (BCVA) in patients in Cohort 4 (less advanced GA) measured at month 12 remain evident through month 36 following subretinal administration of OpRegen cell therapy; (ii) improvement in BCVA and outer retinal structure in patients with extensive OpRegen bleb coverage of their GA area was greater than in patients with limited coverage and persisted through month 36; (iii) in those patients with extensive OpRegen cell therapy coverage of atrophic areas at the time of surgical delivery, the mean change in BCVA was +9.0 ETDRS letters for those completing 3-year follow-up (compared to +7.4 ETDRS letters at 24 months) (n=5); and, (iv) these data suggest that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OpRegen cell therapy may counteract RPE cell dysfunction and loss in GA by providing support to the remaining retinal cells within atrophic areas, and these effects appear durable through at least 36 months after a single administration.</w:t>
      </w:r>
    </w:p>
    <w:p>
      <w:pPr>
        <w:pStyle w:val="TextBody"/>
        <w:bidi w:val="0"/>
        <w:spacing w:before="240" w:after="283"/>
        <w:jc w:val="both"/>
        <w:rPr>
          <w:rFonts w:ascii="Times New Roman" w:hAnsi="Times New Roman"/>
          <w:sz w:val="20"/>
        </w:rPr>
      </w:pPr>
      <w:r>
        <w:rPr>
          <w:rFonts w:ascii="Times New Roman" w:hAnsi="Times New Roman"/>
          <w:color w:val="000000"/>
          <w:sz w:val="20"/>
        </w:rPr>
        <w:t>Our most advanced internally owned product candidate is OPC1, an allogeneic oligodendrocyte progenitor cell therapy designed to improve recovery following a spinal cord injury (“SCI”). Improved functional activity can lead to greater mobility and enhanced quality of life for patients and significant cost-savings for caregivers and payors. OPC1 also has an extensive long-term safety profile based on two clinical trials conducted to date: a five-patient Phase 1 safety trial in acute thoracic SCI, where all active subjects have been followed for at least 13 years, and a 25-patient Phase 1/2a multicenter dose-escalation trial in subacute cervical SCI, where all active subjects were evaluated for at least 7 years. Results from these studies have been published in the Journal of Neurosurgery Spine. In February 2025, we announced that we were initiating our DOSED (Delivery of Oligodendrocyte Progenitor Cells for Spinal Cord Injury: Evaluation of a Novel Device) clinical study to evaluate the safety and utility of a novel spinal cord delivery device designed to administer OPC1 to the spinal parenchyma in subacute and chronic SCI patients. The study will enroll both subacute (between 21 to 42 days following injury) and chronic (between 1 to 5 years following injury) SCI patients. The DOSED study will be the first study of OPC1 to include patients with a chronic injury, a condition which comprises the majority of SCI patients. We expect DOSED will enable future subsequent studies aimed to demonstrate OPC1’s ability to impact functional outcomes</w:t>
      </w:r>
      <w:r>
        <w:rPr>
          <w:rFonts w:ascii="Aptos;sans-serif" w:hAnsi="Aptos;sans-serif"/>
          <w:color w:val="000000"/>
          <w:sz w:val="20"/>
        </w:rPr>
        <w:t>.</w:t>
      </w:r>
      <w:r>
        <w:rPr>
          <w:rFonts w:ascii="Times New Roman" w:hAnsi="Times New Roman"/>
          <w:color w:val="000000"/>
          <w:sz w:val="20"/>
        </w:rPr>
        <w:t xml:space="preserve"> In July 2025 the first chronic SCI patient (a neurologically complete SCI injury (American Spinal Injury Association Impairment Scale [AIS] grade A), with a single neurological level of injury (NLI) from levels T1 to T10) was treated in the DOSED study at UC San Diego Health, and the novel delivery system successfully administered a one-time injection of OPC1. OPC1 clinical development has been supported in part by a $14.3 million grant from the California Institute for Regenerative Medicine (“CIRM”) and we have applied for additional funding from CIRM to support continued clinical development of OPC1 for the treatment of SCI. See “Item 1. Business - Grants from Government Entities,” – Grants from the California Institute for Regenerative Medicine,” in the 2024 10K.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pipeline of allogeneic, or “off-the-shelf”, neurology and ophthalmic cell therapy programs currently available to us for development includes:</w:t>
      </w:r>
    </w:p>
    <w:p>
      <w:pPr>
        <w:pStyle w:val="TextBody"/>
        <w:bidi w:val="0"/>
        <w:spacing w:before="120" w:after="283"/>
        <w:jc w:val="both"/>
        <w:rPr>
          <w:color w:val="000000"/>
        </w:rPr>
      </w:pPr>
      <w:r>
        <w:rPr>
          <w:color w:val="000000"/>
        </w:rPr>
        <w:t>•</w:t>
      </w:r>
    </w:p>
    <w:p>
      <w:pPr>
        <w:pStyle w:val="TextBody"/>
        <w:bidi w:val="0"/>
        <w:spacing w:before="120" w:after="283"/>
        <w:jc w:val="both"/>
        <w:rPr>
          <w:rFonts w:ascii="Aptos;sans-serif" w:hAnsi="Aptos;sans-serif"/>
          <w:sz w:val="22"/>
        </w:rPr>
      </w:pPr>
      <w:r>
        <w:rPr>
          <w:rFonts w:ascii="Times New Roman" w:hAnsi="Times New Roman"/>
          <w:i/>
          <w:color w:val="000000"/>
          <w:sz w:val="20"/>
        </w:rPr>
        <w:t>OpRegen (RG6501)</w:t>
      </w:r>
      <w:r>
        <w:rPr>
          <w:rFonts w:ascii="Times New Roman" w:hAnsi="Times New Roman"/>
          <w:color w:val="000000"/>
          <w:sz w:val="20"/>
        </w:rPr>
        <w:t xml:space="preserve">, an allogeneic RPE cell replacement therapy currently in a Phase 2a multicenter, open-label, single arm clinical trial, the GAlette Study, being conducted by Genentech, for the treatment of GA secondary to AMD. </w:t>
      </w:r>
    </w:p>
    <w:p>
      <w:pPr>
        <w:pStyle w:val="TextBody"/>
        <w:bidi w:val="0"/>
        <w:spacing w:before="120" w:after="283"/>
        <w:jc w:val="both"/>
        <w:rPr>
          <w:color w:val="000000"/>
        </w:rPr>
      </w:pPr>
      <w:r>
        <w:rPr>
          <w:color w:val="000000"/>
        </w:rPr>
        <w:t>•</w:t>
      </w:r>
    </w:p>
    <w:p>
      <w:pPr>
        <w:pStyle w:val="TextBody"/>
        <w:bidi w:val="0"/>
        <w:spacing w:before="120" w:after="283"/>
        <w:jc w:val="both"/>
        <w:rPr>
          <w:rFonts w:ascii="Aptos;sans-serif" w:hAnsi="Aptos;sans-serif"/>
          <w:sz w:val="22"/>
        </w:rPr>
      </w:pPr>
      <w:r>
        <w:rPr>
          <w:rFonts w:ascii="Times New Roman" w:hAnsi="Times New Roman"/>
          <w:i/>
          <w:color w:val="000000"/>
          <w:sz w:val="20"/>
        </w:rPr>
        <w:t>OPC1</w:t>
      </w:r>
      <w:r>
        <w:rPr>
          <w:rFonts w:ascii="Times New Roman" w:hAnsi="Times New Roman"/>
          <w:color w:val="000000"/>
          <w:sz w:val="20"/>
        </w:rPr>
        <w:t xml:space="preserve">, an allogeneic oligodendrocyte progenitor cell therapy currently in a Phase 1b, multicenter, open-label safety trial, the DOSED study, which is designed to test the safety and utility of a novel spinal cord delivery device in subacute and chronic SCI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Aptos;sans-serif" w:hAnsi="Aptos;sans-serif"/>
          <w:sz w:val="22"/>
        </w:rPr>
      </w:pPr>
      <w:r>
        <w:rPr>
          <w:rFonts w:ascii="Times New Roman" w:hAnsi="Times New Roman"/>
          <w:color w:val="000000"/>
          <w:sz w:val="20"/>
        </w:rPr>
        <w:t>ReSonance</w:t>
      </w:r>
      <w:r>
        <w:rPr>
          <w:rFonts w:ascii="Times New Roman" w:hAnsi="Times New Roman"/>
          <w:color w:val="000000"/>
          <w:sz w:val="13"/>
        </w:rPr>
        <w:t>TM</w:t>
      </w:r>
      <w:r>
        <w:rPr>
          <w:rFonts w:ascii="Aptos;sans-serif" w:hAnsi="Aptos;sans-serif"/>
          <w:color w:val="000000"/>
          <w:sz w:val="22"/>
        </w:rPr>
        <w:t xml:space="preserve"> </w:t>
      </w:r>
      <w:r>
        <w:rPr>
          <w:rFonts w:ascii="Times New Roman" w:hAnsi="Times New Roman"/>
          <w:color w:val="000000"/>
          <w:sz w:val="20"/>
        </w:rPr>
        <w:t xml:space="preserve">(ANP1), an allogeneic auditory neuron progenitor cell transplant currently in preclinical development for the treatment of sensorineural hearing loss. </w:t>
      </w:r>
    </w:p>
    <w:p>
      <w:pPr>
        <w:pStyle w:val="TextBody"/>
        <w:bidi w:val="0"/>
        <w:spacing w:before="120" w:after="283"/>
        <w:jc w:val="both"/>
        <w:rPr>
          <w:color w:val="000000"/>
        </w:rPr>
      </w:pPr>
      <w:r>
        <w:rPr>
          <w:color w:val="000000"/>
        </w:rPr>
        <w:t>•</w:t>
      </w:r>
    </w:p>
    <w:p>
      <w:pPr>
        <w:pStyle w:val="TextBody"/>
        <w:bidi w:val="0"/>
        <w:spacing w:before="120" w:after="283"/>
        <w:jc w:val="both"/>
        <w:rPr>
          <w:rFonts w:ascii="Aptos;sans-serif" w:hAnsi="Aptos;sans-serif"/>
          <w:sz w:val="22"/>
        </w:rPr>
      </w:pPr>
      <w:r>
        <w:rPr>
          <w:rFonts w:ascii="Times New Roman" w:hAnsi="Times New Roman"/>
          <w:i/>
          <w:color w:val="000000"/>
          <w:sz w:val="20"/>
        </w:rPr>
        <w:t>PNC1</w:t>
      </w:r>
      <w:r>
        <w:rPr>
          <w:rFonts w:ascii="Times New Roman" w:hAnsi="Times New Roman"/>
          <w:color w:val="000000"/>
          <w:sz w:val="20"/>
        </w:rPr>
        <w:t xml:space="preserve">, an allogeneic photoreceptor cell transplant currently in preclinical development for the treatment of vision loss due to photoreceptor dysfunction or damage. </w:t>
      </w:r>
    </w:p>
    <w:p>
      <w:pPr>
        <w:pStyle w:val="TextBody"/>
        <w:bidi w:val="0"/>
        <w:spacing w:before="120" w:after="283"/>
        <w:jc w:val="both"/>
        <w:rPr>
          <w:color w:val="000000"/>
        </w:rPr>
      </w:pPr>
      <w:r>
        <w:rPr>
          <w:color w:val="000000"/>
        </w:rPr>
        <w:t>•</w:t>
      </w:r>
    </w:p>
    <w:p>
      <w:pPr>
        <w:pStyle w:val="TextBody"/>
        <w:bidi w:val="0"/>
        <w:spacing w:before="120" w:after="283"/>
        <w:jc w:val="both"/>
        <w:rPr>
          <w:rFonts w:ascii="Aptos;sans-serif" w:hAnsi="Aptos;sans-serif"/>
          <w:sz w:val="22"/>
        </w:rPr>
      </w:pPr>
      <w:r>
        <w:rPr>
          <w:rFonts w:ascii="Times New Roman" w:hAnsi="Times New Roman"/>
          <w:i/>
          <w:color w:val="000000"/>
          <w:sz w:val="20"/>
        </w:rPr>
        <w:t xml:space="preserve">RND1, </w:t>
      </w:r>
      <w:r>
        <w:rPr>
          <w:rFonts w:ascii="Times New Roman" w:hAnsi="Times New Roman"/>
          <w:color w:val="000000"/>
          <w:sz w:val="20"/>
        </w:rPr>
        <w:t>a cell transplant program for an undisclosed indication, currently being developed through a gene editing collaboration with Factor Biosciences Limited.</w:t>
      </w:r>
    </w:p>
    <w:p>
      <w:pPr>
        <w:pStyle w:val="TextBody"/>
        <w:bidi w:val="0"/>
        <w:spacing w:before="120" w:after="283"/>
        <w:jc w:val="both"/>
        <w:rPr>
          <w:color w:val="000000"/>
        </w:rPr>
      </w:pPr>
      <w:r>
        <w:rPr>
          <w:color w:val="000000"/>
        </w:rPr>
        <w:t>•</w:t>
      </w:r>
    </w:p>
    <w:p>
      <w:pPr>
        <w:pStyle w:val="TextBody"/>
        <w:bidi w:val="0"/>
        <w:spacing w:before="120" w:after="283"/>
        <w:jc w:val="both"/>
        <w:rPr>
          <w:rFonts w:ascii="Aptos;sans-serif" w:hAnsi="Aptos;sans-serif"/>
          <w:sz w:val="22"/>
        </w:rPr>
      </w:pPr>
      <w:r>
        <w:rPr>
          <w:rFonts w:ascii="Times New Roman" w:hAnsi="Times New Roman"/>
          <w:i/>
          <w:color w:val="000000"/>
          <w:sz w:val="20"/>
        </w:rPr>
        <w:t>A proprietary hypoimmune cell line,</w:t>
      </w:r>
      <w:r>
        <w:rPr>
          <w:rFonts w:ascii="Aptos;sans-serif" w:hAnsi="Aptos;sans-serif"/>
          <w:color w:val="000000"/>
          <w:sz w:val="22"/>
        </w:rPr>
        <w:t xml:space="preserve"> </w:t>
      </w:r>
      <w:r>
        <w:rPr>
          <w:rFonts w:ascii="Times New Roman" w:hAnsi="Times New Roman"/>
          <w:color w:val="000000"/>
          <w:sz w:val="20"/>
        </w:rPr>
        <w:t>which may have utility in additional central nervous system indications.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Programs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have to date focused on neurological and ophthalmic cell types, the pluripotent cells which our platform is based on are capable of becoming any of the cell types of the human body. We currently maintain a list of additional undisclosed product candidates which may be considered for development or partnership in the future, and which altogether cover a range of therapeutic areas and conditions. Generally, these product candidates are based on the same platform technology and employ a similar guided cell differentiation and transplant approach as the product candidates discussed above, but in some cases may also include genetic modifications designed to enhance efficacy and/or safety profiles. We may elect not to develop, terminate the development of, or not partner any of these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seeking to create value for shareholders by developing product candidates through clinical development, we also may seek to create value from our intellectual property or related technologies and capabilities, through licensing collaborations and/or other strategic transactions.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interim financial statements were prepared in accordance with generally accepted accounting principles in the United States (“GAAP”) for interim financial information and with the instructions to Form 10-Q and Article 8 of Regulation S-X. In accordance with those rules and regulations, certain information and footnote disclosures normally included in comprehensive consolidated financial statements have been condensed or omitted. The condensed consolidated balance sheet as of December 31, 2024 was derived from the audited consolidated financial statements at that date but does not include all the information and footnotes required by GAAP. These accompanying unaudited condensed consolidated interim financial statements should be read in conjunction with the audited consolidated financial statements and notes thereto included in the 2024 10-K.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interim financial statements, in the opinion of management, include all adjustments, consisting only of normal recurring adjustments, necessary for a fair presentation of our financial condition and results of operations. The condensed consolidated interim results of operations are not necessarily indicative of the results to be expected for any other interim period or for the entire year.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Segments and Principles of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chief operating decision maker (“CODM”), our Chief Executive Officer, manages our business activities as a single operating and reportable segment at the consolidated level. The information in our condensed consolidated interim financial statements is the only financial information regularly provided to our CODM and there are no other significant expense categories regularly reviewed by our CODM. Accordingly, our CODM uses consolidated net loss to measure segment profit or loss, allocate resources and assess performance. Further, our CODM reviews and utilizes revenue and functional expenses (cost of royalties, research and development, and general and administrative) at the consolidated level to manage our operations. Other segment items included in consolidated net loss are interest income, loss on marketable equity securities, change in fair value of warrant liability, foreign currency transaction loss, and other income (expense), and the provision for income tax benefit, which are reflected in the condensed consolidated statements of comprehensive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reflects Lineage’s ownership, directly or through one or more subsidiaries, of the outstanding shares of its operating subsidiaries as of June 30, 2025:</w:t>
      </w:r>
    </w:p>
    <w:p>
      <w:pPr>
        <w:pStyle w:val="TextBody"/>
        <w:bidi w:val="0"/>
        <w:jc w:val="both"/>
        <w:rPr/>
      </w:pPr>
      <w:r>
        <w:rPr/>
        <w:t> </w:t>
      </w:r>
    </w:p>
    <w:tbl>
      <w:tblPr>
        <w:tblW w:w="8812" w:type="dxa"/>
        <w:jc w:val="left"/>
        <w:tblInd w:w="0" w:type="dxa"/>
        <w:tblLayout w:type="fixed"/>
        <w:tblCellMar>
          <w:top w:w="28" w:type="dxa"/>
          <w:left w:w="28" w:type="dxa"/>
          <w:bottom w:w="28" w:type="dxa"/>
          <w:right w:w="28" w:type="dxa"/>
        </w:tblCellMar>
      </w:tblPr>
      <w:tblGrid>
        <w:gridCol w:w="2551"/>
        <w:gridCol w:w="146"/>
        <w:gridCol w:w="3961"/>
        <w:gridCol w:w="146"/>
        <w:gridCol w:w="886"/>
        <w:gridCol w:w="146"/>
        <w:gridCol w:w="976"/>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Subsidiary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Field of Business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Lineage </w:t>
              <w:br/>
              <w:t>Ownership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Country</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Cell Cure Neurosciences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of Lineage’s product candidates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94%</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Israel</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 Cell International Pte.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clinical grade cell lines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Includes shares owned by Lineage and ES Cell International Pte. Ltd. (“ESI”).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material intercompany accounts and transactions have been eliminated in consolidation. Lineage consolidates its direct and indirect wholly owned or majority-owned subsidiaries because Lineage has the ability to control their operating and financial decisions and policies through its ownership, and the noncontrolling interest is reflected as a separate element of shareholders’ equity on Lineage’s unaudited condensed consolidated balance sheets.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30, 2025, we had $42.3 million of cash, cash equivalents and marketable securities. On June 30, 2025, Cell Cure Neuroscience, Ltd. (“CCN”) had restricted cash related to its lease. See Note 13 (Commitments and Contingencies) for additional information. Based on our current operating plan, we believe that our cash, cash equivalents and marketable securities, will be sufficient to enable us to carry out our planned operations through at least twelve months from the issuance date of our accompanying condensed consolidated interim financial statements.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incurred significant operating losses and have funded our operations primarily through the issuance of equity securities, the sale of common stock of our former subsidiaries, receipt of proceeds from research grants, revenues from collaborations, royalties from product sales, and sales of research products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2025, $39.97 million remained available for sale under our at-the-market offering program ("ATM"). See Note 10 (Shareholders’ Equity) for additional information.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Additional Capital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obligations primarily consist of obligations to licensors under license agreements, obligations related to grants received from government entities, including the Israel Innovation Authority (“IIA”), obligations under contracts with vendors who provide research services and purchase commitments with suppliers.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obligations to licensors under license agreements and our obligations related to grants received from government entities require us to make future payments, such as sublicense fees, milestone payments, redemption fees, royalty fees and patent maintenance fees. Sublicense fees are payable to licensors or government entities when we sublicense the applicable intellectual property to third parties; the fees are based on a percentage of the license-related revenue we receive from sublicensees. Milestone payments, including those related to the Roche Agreement, are due to licensors or government entities upon achievement of commercial, development and regulatory milestones. Redemption fees due to the IIA under the Innovation Law are due upon receipt of milestone payments and royalties received under the Roche Agreement. See Note 13 (Commitments and Contingencies) for additional information. Royalties, including those related to royalties we may receive under the Roche Agreement, are payable to licensors or government entities based on a percentage of net sales of licensed products. Patent maintenance fees are payable to licensors as reimbursement for the cost of maintaining license patents. Due to the contingent nature of the payments, the amounts and timing of payments to licensors under our in-license agreements are uncertain and may fluctuate significantly from period to period. As of June 30, 2025, we had not included these commitments on our consolidated balance sheet because the achievement of events that would trigger our payment obligations and the timing thereof were not fixed and determinable.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amounts and timing of payments under these agreements are uncertain and contingent upon the initiation and completion of the services to be provided.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both"/>
        <w:rPr>
          <w:rFonts w:ascii="Times New Roman" w:hAnsi="Times New Roman"/>
          <w:sz w:val="20"/>
        </w:rPr>
      </w:pPr>
      <w:r>
        <w:rPr>
          <w:rFonts w:ascii="Times New Roman" w:hAnsi="Times New Roman"/>
          <w:i/>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describe our significant accounting policies in Note 2 to the consolidated financial statements in Item 8 of the 2024 10-K. There have been no changes to our significant accounting policies during the six months ended June 30, 2025.</w:t>
      </w:r>
    </w:p>
    <w:p>
      <w:pPr>
        <w:pStyle w:val="TextBody"/>
        <w:bidi w:val="0"/>
        <w:spacing w:before="360" w:after="283"/>
        <w:jc w:val="both"/>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2023, the FASB issued ASU 2023-07, Segment Reporting (Topic 280): Improvements to Reportable Segment Disclosures (“ASU 2023-07”). ASU 2023-07 expands disclosures about a public entity’s reportable segments and requires more enhanced information about a reportable segment’s expenses, interim segment profit or loss, and how a public entity’s chief operating decision maker uses reported segment profit or loss information in assessing segment performance and allocating resources. ASU 2023-07 is effective for fiscal years beginning after December 15, 2023 and interim periods within fiscal years beginning after December 15, 2024 and its adoption did not have a significant impact on our consolidated financial statements.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November 2024, the FASB issued ASU 2024-03, Disaggregation of Income Statement Expenses (Subtopic 220-40): Disaggregation of Income Statement Expenses (“ASU 2024-03”). The purpose of ASU 2024-03 is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captions (such as cost of royalties, SG&amp;A, and research and development) ASU 2024-03 is effective for fiscal years beginning after December 15, 2026 and interim periods within fiscal years beginning after December 15, 2027. Early adoption is permitted. We are currently assessing the impact that this new guidance will have on our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2023, the FASB issued ASU 2023-09, Income Taxes (Topic 740) - Improvements to Income Tax Disclosures. The new standard requires a company to expand its existing income tax disclosures, specifically related to the rate reconciliation and income taxes paid. The standard is effective for annual periods beginning in fiscal year 2025 and will be applied prospectively, but retrospective application is permitted. We are currently evaluating the impact of ASU 2023-09 on the consolidated financial statements and related disclosures.</w:t>
      </w:r>
    </w:p>
    <w:p>
      <w:pPr>
        <w:pStyle w:val="TextBody"/>
        <w:bidi w:val="0"/>
        <w:spacing w:before="360" w:after="283"/>
        <w:jc w:val="both"/>
        <w:rPr>
          <w:rFonts w:ascii="Times New Roman" w:hAnsi="Times New Roman"/>
          <w:sz w:val="20"/>
        </w:rPr>
      </w:pPr>
      <w:r>
        <w:rPr>
          <w:rFonts w:ascii="Times New Roman" w:hAnsi="Times New Roman"/>
          <w:b/>
          <w:color w:val="000000"/>
          <w:sz w:val="20"/>
        </w:rPr>
        <w:t>3.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disaggregated revenues were as follows for the periods presented (in thousands):</w:t>
      </w:r>
    </w:p>
    <w:p>
      <w:pPr>
        <w:pStyle w:val="TextBody"/>
        <w:bidi w:val="0"/>
        <w:jc w:val="left"/>
        <w:rPr/>
      </w:pPr>
      <w:r>
        <w:rPr/>
        <w:t> </w:t>
      </w:r>
    </w:p>
    <w:tbl>
      <w:tblPr>
        <w:tblW w:w="8359" w:type="dxa"/>
        <w:jc w:val="left"/>
        <w:tblInd w:w="0" w:type="dxa"/>
        <w:tblLayout w:type="fixed"/>
        <w:tblCellMar>
          <w:top w:w="28" w:type="dxa"/>
          <w:left w:w="28" w:type="dxa"/>
          <w:bottom w:w="28" w:type="dxa"/>
          <w:right w:w="28" w:type="dxa"/>
        </w:tblCellMar>
      </w:tblPr>
      <w:tblGrid>
        <w:gridCol w:w="3916"/>
        <w:gridCol w:w="146"/>
        <w:gridCol w:w="211"/>
        <w:gridCol w:w="572"/>
        <w:gridCol w:w="146"/>
        <w:gridCol w:w="146"/>
        <w:gridCol w:w="211"/>
        <w:gridCol w:w="572"/>
        <w:gridCol w:w="146"/>
        <w:gridCol w:w="146"/>
        <w:gridCol w:w="211"/>
        <w:gridCol w:w="571"/>
        <w:gridCol w:w="146"/>
        <w:gridCol w:w="146"/>
        <w:gridCol w:w="211"/>
        <w:gridCol w:w="571"/>
        <w:gridCol w:w="2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under collaborative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Upfront license fees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under collaborative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Royalties, license and other revenues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All of the upfront license fee revenue recognized each period was included within deferred revenue as contract liabilities at the beginning of the period.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Times New Roman" w:hAnsi="Times New Roman"/>
          <w:sz w:val="22"/>
        </w:rPr>
      </w:pPr>
      <w:r>
        <w:rPr>
          <w:rFonts w:ascii="Times New Roman" w:hAnsi="Times New Roman"/>
          <w:color w:val="000000"/>
          <w:sz w:val="20"/>
        </w:rPr>
        <w:t>Of the royalties, license and other revenues recognized each period, $12,000</w:t>
      </w:r>
      <w:r>
        <w:rPr>
          <w:rFonts w:ascii="Times New Roman" w:hAnsi="Times New Roman"/>
          <w:color w:val="000000"/>
          <w:sz w:val="22"/>
        </w:rPr>
        <w:t xml:space="preserve"> </w:t>
      </w:r>
      <w:r>
        <w:rPr>
          <w:rFonts w:ascii="Times New Roman" w:hAnsi="Times New Roman"/>
          <w:color w:val="000000"/>
          <w:sz w:val="20"/>
        </w:rPr>
        <w:t>and $30,000</w:t>
      </w:r>
      <w:r>
        <w:rPr>
          <w:rFonts w:ascii="Times New Roman" w:hAnsi="Times New Roman"/>
          <w:color w:val="000000"/>
          <w:sz w:val="22"/>
        </w:rPr>
        <w:t xml:space="preserve"> </w:t>
      </w:r>
      <w:r>
        <w:rPr>
          <w:rFonts w:ascii="Times New Roman" w:hAnsi="Times New Roman"/>
          <w:color w:val="000000"/>
          <w:sz w:val="20"/>
        </w:rPr>
        <w:t xml:space="preserve">was included within deferred revenues as contract liabilities as of January 1, 2025 and 2024,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recognizing the $50.0 million upfront payment under the Roche Agreement utilizing an input method of costs incurred over total estimated costs to be incurred. At each reporting period, we update our total estimated collaboration costs, and any resulting adjustments are recorded on a cumulative basis which would affect revenue and deferred revenue in the period of adjustment. We believe the input methodology represents the most appropriate measure of progress towards satisfaction of the identified performance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contracts with customers, including collaboration partners which are within the scope of ASU 2014-09 – Revenue from Contracts with Customers (Topic 606), the aggregate amount of the transaction price allocated to remaining performance obligations as of June 30, 2025 was $19.9 million, of which $18.0 million is reported as deferred revenues. The $19.9 million is expected to be substantially converted to revenue by December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Accounts receivable, net, and deferred revenues (contract liabilities) from contracts with customers, including collaboration partners, consisted of the following (in thousands):</w:t>
      </w:r>
    </w:p>
    <w:p>
      <w:pPr>
        <w:pStyle w:val="TextBody"/>
        <w:bidi w:val="0"/>
        <w:jc w:val="both"/>
        <w:rPr/>
      </w:pPr>
      <w:r>
        <w:rPr/>
        <w:t> </w:t>
      </w:r>
    </w:p>
    <w:tbl>
      <w:tblPr>
        <w:tblW w:w="7255" w:type="dxa"/>
        <w:jc w:val="left"/>
        <w:tblInd w:w="0" w:type="dxa"/>
        <w:tblLayout w:type="fixed"/>
        <w:tblCellMar>
          <w:top w:w="28" w:type="dxa"/>
          <w:left w:w="28" w:type="dxa"/>
          <w:bottom w:w="28" w:type="dxa"/>
          <w:right w:w="28" w:type="dxa"/>
        </w:tblCellMar>
      </w:tblPr>
      <w:tblGrid>
        <w:gridCol w:w="4216"/>
        <w:gridCol w:w="146"/>
        <w:gridCol w:w="239"/>
        <w:gridCol w:w="766"/>
        <w:gridCol w:w="146"/>
        <w:gridCol w:w="146"/>
        <w:gridCol w:w="310"/>
        <w:gridCol w:w="995"/>
        <w:gridCol w:w="2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Accounts receivable, net - beginning of the year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Accounts receivable, net - end of the period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Contract liabilities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revenues - beginning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revenues -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Excludes grants receivable which are outside the scope of ASU 2014-09.</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fair value of marketable securities held by the Company and their location in the Company’s condensed consolidated balance sheet (in thousands):</w:t>
      </w:r>
    </w:p>
    <w:p>
      <w:pPr>
        <w:pStyle w:val="TextBody"/>
        <w:bidi w:val="0"/>
        <w:spacing w:before="120" w:after="283"/>
        <w:jc w:val="left"/>
        <w:rPr/>
      </w:pPr>
      <w:r>
        <w:rPr/>
        <w:t> </w:t>
      </w:r>
    </w:p>
    <w:tbl>
      <w:tblPr>
        <w:tblW w:w="7210" w:type="dxa"/>
        <w:jc w:val="left"/>
        <w:tblInd w:w="0" w:type="dxa"/>
        <w:tblLayout w:type="fixed"/>
        <w:tblCellMar>
          <w:top w:w="28" w:type="dxa"/>
          <w:left w:w="28" w:type="dxa"/>
          <w:bottom w:w="28" w:type="dxa"/>
          <w:right w:w="28" w:type="dxa"/>
        </w:tblCellMar>
      </w:tblPr>
      <w:tblGrid>
        <w:gridCol w:w="3756"/>
        <w:gridCol w:w="146"/>
        <w:gridCol w:w="267"/>
        <w:gridCol w:w="858"/>
        <w:gridCol w:w="146"/>
        <w:gridCol w:w="146"/>
        <w:gridCol w:w="357"/>
        <w:gridCol w:w="1143"/>
        <w:gridCol w:w="391"/>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Included within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Included within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Included within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Marketable Debt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summarize the available-for-sale debt securities classified within cash and cash equivalents and within marketable securities in the Company’s condensed consolidated balance sheet for the periods presented (in thousands):</w:t>
      </w:r>
    </w:p>
    <w:p>
      <w:pPr>
        <w:pStyle w:val="TextBody"/>
        <w:bidi w:val="0"/>
        <w:jc w:val="both"/>
        <w:rPr/>
      </w:pPr>
      <w:r>
        <w:rPr/>
        <w:t> </w:t>
      </w:r>
    </w:p>
    <w:tbl>
      <w:tblPr>
        <w:tblW w:w="8306" w:type="dxa"/>
        <w:jc w:val="left"/>
        <w:tblInd w:w="0" w:type="dxa"/>
        <w:tblLayout w:type="fixed"/>
        <w:tblCellMar>
          <w:top w:w="28" w:type="dxa"/>
          <w:left w:w="28" w:type="dxa"/>
          <w:bottom w:w="28" w:type="dxa"/>
          <w:right w:w="28" w:type="dxa"/>
        </w:tblCellMar>
      </w:tblPr>
      <w:tblGrid>
        <w:gridCol w:w="2111"/>
        <w:gridCol w:w="146"/>
        <w:gridCol w:w="296"/>
        <w:gridCol w:w="949"/>
        <w:gridCol w:w="146"/>
        <w:gridCol w:w="146"/>
        <w:gridCol w:w="510"/>
        <w:gridCol w:w="840"/>
        <w:gridCol w:w="146"/>
        <w:gridCol w:w="146"/>
        <w:gridCol w:w="603"/>
        <w:gridCol w:w="777"/>
        <w:gridCol w:w="166"/>
        <w:gridCol w:w="146"/>
        <w:gridCol w:w="211"/>
        <w:gridCol w:w="676"/>
        <w:gridCol w:w="291"/>
      </w:tblGrid>
      <w:tr>
        <w:trPr/>
        <w:tc>
          <w:tcPr>
            <w:tcW w:w="2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286" w:type="dxa"/>
        <w:jc w:val="left"/>
        <w:tblInd w:w="0" w:type="dxa"/>
        <w:tblLayout w:type="fixed"/>
        <w:tblCellMar>
          <w:top w:w="28" w:type="dxa"/>
          <w:left w:w="28" w:type="dxa"/>
          <w:bottom w:w="28" w:type="dxa"/>
          <w:right w:w="28" w:type="dxa"/>
        </w:tblCellMar>
      </w:tblPr>
      <w:tblGrid>
        <w:gridCol w:w="2111"/>
        <w:gridCol w:w="146"/>
        <w:gridCol w:w="296"/>
        <w:gridCol w:w="949"/>
        <w:gridCol w:w="146"/>
        <w:gridCol w:w="146"/>
        <w:gridCol w:w="675"/>
        <w:gridCol w:w="675"/>
        <w:gridCol w:w="146"/>
        <w:gridCol w:w="146"/>
        <w:gridCol w:w="522"/>
        <w:gridCol w:w="858"/>
        <w:gridCol w:w="146"/>
        <w:gridCol w:w="146"/>
        <w:gridCol w:w="211"/>
        <w:gridCol w:w="676"/>
        <w:gridCol w:w="291"/>
      </w:tblGrid>
      <w:tr>
        <w:trPr/>
        <w:tc>
          <w:tcPr>
            <w:tcW w:w="2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Company has not recognized an allowance for credit losses on any securities in an unrealized loss position as of June 30, 2025 or December 31, 2024. The Company believes that any individual unrealized losses represent temporary declines resulting from changes in interest rates, and do not reflect a deterioration of the credit quality of the issuer. The Company does not intend to sell these securities, nor anticipate that these securities will be required to be sold before recovery.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2025, the amortized cost and estimated fair value of the Company’s available-for-sale debt securities by contractual maturity are shown below (in thousands):</w:t>
      </w:r>
    </w:p>
    <w:p>
      <w:pPr>
        <w:pStyle w:val="TextBody"/>
        <w:bidi w:val="0"/>
        <w:jc w:val="both"/>
        <w:rPr/>
      </w:pPr>
      <w:r>
        <w:rPr/>
        <w:t> </w:t>
      </w:r>
    </w:p>
    <w:tbl>
      <w:tblPr>
        <w:tblW w:w="7255" w:type="dxa"/>
        <w:jc w:val="left"/>
        <w:tblInd w:w="0" w:type="dxa"/>
        <w:tblLayout w:type="fixed"/>
        <w:tblCellMar>
          <w:top w:w="28" w:type="dxa"/>
          <w:left w:w="28" w:type="dxa"/>
          <w:bottom w:w="28" w:type="dxa"/>
          <w:right w:w="28" w:type="dxa"/>
        </w:tblCellMar>
      </w:tblPr>
      <w:tblGrid>
        <w:gridCol w:w="3631"/>
        <w:gridCol w:w="146"/>
        <w:gridCol w:w="296"/>
        <w:gridCol w:w="949"/>
        <w:gridCol w:w="146"/>
        <w:gridCol w:w="146"/>
        <w:gridCol w:w="392"/>
        <w:gridCol w:w="1258"/>
        <w:gridCol w:w="2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debt securities maturing: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Marketable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Marketable equity securities with readily determinable fair values are reported at fair value with unrealized gains and losses related to mark-to-market adjustments included in income. Lineage’s marketable equity securities are classified as trading securities and for the periods reported have consisted of shares of common stock of OncoCyte Corporation (“OCX”) and of Hadasit Bio-Holdings Ltd. (“HBL”). Lineage has not owned any shares of OCX since June 30, 2024. The value of marketable equity securities is based on the closing price of OCX and HBL common stock on the last trading day of the applicable quarter.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represents the realized and unrealized loss on marketable equity securities for the periods presented (in thousands):</w:t>
      </w:r>
    </w:p>
    <w:p>
      <w:pPr>
        <w:pStyle w:val="TextBody"/>
        <w:bidi w:val="0"/>
        <w:jc w:val="both"/>
        <w:rPr/>
      </w:pPr>
      <w:r>
        <w:rPr/>
        <w:t> </w:t>
      </w:r>
    </w:p>
    <w:tbl>
      <w:tblPr>
        <w:tblW w:w="9770" w:type="dxa"/>
        <w:jc w:val="left"/>
        <w:tblInd w:w="0" w:type="dxa"/>
        <w:tblLayout w:type="fixed"/>
        <w:tblCellMar>
          <w:top w:w="28" w:type="dxa"/>
          <w:left w:w="28" w:type="dxa"/>
          <w:bottom w:w="28" w:type="dxa"/>
          <w:right w:w="28" w:type="dxa"/>
        </w:tblCellMar>
      </w:tblPr>
      <w:tblGrid>
        <w:gridCol w:w="5536"/>
        <w:gridCol w:w="146"/>
        <w:gridCol w:w="269"/>
        <w:gridCol w:w="442"/>
        <w:gridCol w:w="212"/>
        <w:gridCol w:w="186"/>
        <w:gridCol w:w="269"/>
        <w:gridCol w:w="480"/>
        <w:gridCol w:w="166"/>
        <w:gridCol w:w="146"/>
        <w:gridCol w:w="247"/>
        <w:gridCol w:w="406"/>
        <w:gridCol w:w="195"/>
        <w:gridCol w:w="171"/>
        <w:gridCol w:w="247"/>
        <w:gridCol w:w="441"/>
        <w:gridCol w:w="211"/>
      </w:tblGrid>
      <w:tr>
        <w:trPr/>
        <w:tc>
          <w:tcPr>
            <w:tcW w:w="5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marketable equity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Less: Loss recognized in earnings on marketable equity </w:t>
              <w:br/>
              <w:t>   securities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recognized on marketable equity securities held at </w:t>
              <w:br/>
              <w:t>   end of period,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5. 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including finance leases, are stated at cost, net of accumulated depreciation and amortization. The cost of property and equipment is depreciated or amortized using the straight-line method over the estimated useful life of the asset, ranging from 3 to 10 years. Finance lease right-of-use assets are amortized over the lease term. Leasehold improvements are amortized over the shorter of the useful life or the lease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June 30, 2025 and December 31, 2024, property and equipment, net was comprised of the following (in thousands):</w:t>
      </w:r>
    </w:p>
    <w:p>
      <w:pPr>
        <w:pStyle w:val="TextBody"/>
        <w:bidi w:val="0"/>
        <w:jc w:val="left"/>
        <w:rPr/>
      </w:pPr>
      <w:r>
        <w:rPr/>
        <w:t> </w:t>
      </w:r>
    </w:p>
    <w:tbl>
      <w:tblPr>
        <w:tblW w:w="7085" w:type="dxa"/>
        <w:jc w:val="left"/>
        <w:tblInd w:w="0" w:type="dxa"/>
        <w:tblLayout w:type="fixed"/>
        <w:tblCellMar>
          <w:top w:w="28" w:type="dxa"/>
          <w:left w:w="28" w:type="dxa"/>
          <w:bottom w:w="28" w:type="dxa"/>
          <w:right w:w="28" w:type="dxa"/>
        </w:tblCellMar>
      </w:tblPr>
      <w:tblGrid>
        <w:gridCol w:w="3691"/>
        <w:gridCol w:w="146"/>
        <w:gridCol w:w="282"/>
        <w:gridCol w:w="843"/>
        <w:gridCol w:w="166"/>
        <w:gridCol w:w="146"/>
        <w:gridCol w:w="376"/>
        <w:gridCol w:w="1124"/>
        <w:gridCol w:w="3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Depreciation and amortization expense was $171,000 and $142,000 for the three months ended June 30, 2025 and 2024, respectively, and $335,000 and $295,000 for the six months ended June 30, 2025 and 2024, respectively. These amounts include amortization expense for right-of-use finance lease assets of $14,000 for each of the three months ended June 30, 2025 and 2024, and $28,000 for each of the six months ended June 30, 2025 and 2024.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 Goodwill and Intangible Assets,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June 30, 2025 and December 31, 2024, goodwill and intangible assets, net consisted of the following (in thousands):</w:t>
      </w:r>
    </w:p>
    <w:p>
      <w:pPr>
        <w:pStyle w:val="TextBody"/>
        <w:bidi w:val="0"/>
        <w:jc w:val="both"/>
        <w:rPr/>
      </w:pPr>
      <w:r>
        <w:rPr/>
        <w:t> </w:t>
      </w:r>
    </w:p>
    <w:tbl>
      <w:tblPr>
        <w:tblW w:w="8020" w:type="dxa"/>
        <w:jc w:val="left"/>
        <w:tblInd w:w="0" w:type="dxa"/>
        <w:tblLayout w:type="fixed"/>
        <w:tblCellMar>
          <w:top w:w="28" w:type="dxa"/>
          <w:left w:w="28" w:type="dxa"/>
          <w:bottom w:w="28" w:type="dxa"/>
          <w:right w:w="28" w:type="dxa"/>
        </w:tblCellMar>
      </w:tblPr>
      <w:tblGrid>
        <w:gridCol w:w="4646"/>
        <w:gridCol w:w="146"/>
        <w:gridCol w:w="250"/>
        <w:gridCol w:w="875"/>
        <w:gridCol w:w="166"/>
        <w:gridCol w:w="146"/>
        <w:gridCol w:w="334"/>
        <w:gridCol w:w="1166"/>
        <w:gridCol w:w="291"/>
      </w:tblGrid>
      <w:tr>
        <w:trPr/>
        <w:tc>
          <w:tcPr>
            <w:tcW w:w="4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Goodwill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Acquired IPR&amp;D – OPC1 (from the Asterias Merger)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Acquired IPR&amp;D – VAC (from the Asterias Merger)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subject to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Acquired patents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Acquired royalty contracts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Accumulated amortization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pPr>
      <w:r>
        <w:rPr>
          <w:rFonts w:ascii="Times New Roman" w:hAnsi="Times New Roman"/>
          <w:color w:val="000000"/>
          <w:sz w:val="20"/>
        </w:rPr>
        <w:t>Goodwill represents the excess of the purchase price over the fair value of the net tangible and identifiable intangible assets acquired and liabilities assumed in connection with our acquisition of Asterias Biotherapeutics, Inc. (“Asterias”)</w:t>
      </w:r>
      <w:r>
        <w:rPr>
          <w:color w:val="000000"/>
        </w:rPr>
        <w:t xml:space="preserve"> </w:t>
      </w:r>
      <w:r>
        <w:rPr>
          <w:rFonts w:ascii="Times New Roman" w:hAnsi="Times New Roman"/>
          <w:color w:val="000000"/>
          <w:sz w:val="20"/>
        </w:rPr>
        <w:t xml:space="preserve">in March 2019 (the “Asterias Merger”). The Company conducted a qualitative goodwill assessment for the second quarter of 2025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40" w:after="283"/>
        <w:jc w:val="both"/>
        <w:rPr/>
      </w:pPr>
      <w:r>
        <w:rPr>
          <w:rFonts w:ascii="Times New Roman" w:hAnsi="Times New Roman"/>
          <w:color w:val="000000"/>
          <w:sz w:val="20"/>
        </w:rPr>
        <w:t>and took into consideration the impairment of the VAC indefinite-lived intangible asset. After assessing the totality of relevant events and circumstances, there was no impairment to the goodwill carrying value as of June 30, 2025, and to date, the Company has not recognized any goodwill impairment.</w:t>
      </w:r>
      <w:r>
        <w:rPr>
          <w:color w:val="000000"/>
        </w:rPr>
        <w:t xml:space="preserve">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Asterias had two IPR&amp;D intangible assets that were valued at $46.5 million as part of the purchase price allocation that was performed in connection with the Asterias Merger. The fair value of these assets at the acquisition date consisted of $31.7 million pertaining to the OPC1 program and $14.8 million pertaining to the VAC platform. As of June 30, 2025, the VAC platform was deemed to be abandoned. As the Company has abandoned the VAC platform and its related research and development efforts, and the IPR&amp;D asset has no alternative future use, the Company has derecognized the intangible asset and recorded a non-cash pre-tax impairment charge of $14.8 million, within total operating expenses of the condensed consolidated statement of operations. See Note 13 (Commitments and Contingencies) for additional information.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both"/>
        <w:rPr>
          <w:rFonts w:ascii="Times New Roman" w:hAnsi="Times New Roman"/>
          <w:sz w:val="20"/>
        </w:rPr>
      </w:pPr>
      <w:r>
        <w:rPr>
          <w:rFonts w:ascii="Times New Roman" w:hAnsi="Times New Roman"/>
          <w:color w:val="000000"/>
          <w:sz w:val="20"/>
        </w:rPr>
        <w:t xml:space="preserve">Asterias had royalty cash flows under patent families it acquired from Geron Corporation. Such patent families are expected to continue to generate revenue, are not used in the other acquired IPR&amp;D intangible assets, and are considered to be separate intangible assets under ASC Topic 805, </w:t>
      </w:r>
      <w:r>
        <w:rPr>
          <w:rFonts w:ascii="Times New Roman" w:hAnsi="Times New Roman"/>
          <w:i/>
          <w:color w:val="000000"/>
          <w:sz w:val="20"/>
        </w:rPr>
        <w:t>Business Combinations</w:t>
      </w:r>
      <w:r>
        <w:rPr>
          <w:rFonts w:ascii="Times New Roman" w:hAnsi="Times New Roman"/>
          <w:color w:val="000000"/>
          <w:sz w:val="2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Lineage recognized $22,000 in amortization expense of intangible assets during the three months ended March 31, 2024 and did not recognize any amortization expense in subsequent quarters as the acquired patents and acquired royalty contracts were fully amortized as of March 31, 2024.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 Accounts Payable and 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June 30, 2025 and December 31, 2024, accounts payable and accrued liabilities consist of the following (in thousands):</w:t>
      </w:r>
    </w:p>
    <w:p>
      <w:pPr>
        <w:pStyle w:val="TextBody"/>
        <w:bidi w:val="0"/>
        <w:jc w:val="both"/>
        <w:rPr/>
      </w:pPr>
      <w:r>
        <w:rPr/>
        <w:t> </w:t>
      </w:r>
    </w:p>
    <w:tbl>
      <w:tblPr>
        <w:tblW w:w="5335" w:type="dxa"/>
        <w:jc w:val="left"/>
        <w:tblInd w:w="0" w:type="dxa"/>
        <w:tblLayout w:type="fixed"/>
        <w:tblCellMar>
          <w:top w:w="28" w:type="dxa"/>
          <w:left w:w="28" w:type="dxa"/>
          <w:bottom w:w="28" w:type="dxa"/>
          <w:right w:w="28" w:type="dxa"/>
        </w:tblCellMar>
      </w:tblPr>
      <w:tblGrid>
        <w:gridCol w:w="1981"/>
        <w:gridCol w:w="146"/>
        <w:gridCol w:w="303"/>
        <w:gridCol w:w="822"/>
        <w:gridCol w:w="146"/>
        <w:gridCol w:w="146"/>
        <w:gridCol w:w="403"/>
        <w:gridCol w:w="1097"/>
        <w:gridCol w:w="2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8. Fair Value Measurements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 in accordance with (ASC 820-10-50), </w:t>
      </w:r>
      <w:r>
        <w:rPr>
          <w:rFonts w:ascii="Times New Roman" w:hAnsi="Times New Roman"/>
          <w:i/>
          <w:color w:val="000000"/>
          <w:sz w:val="20"/>
        </w:rPr>
        <w:t>Fair Value Measurements and Disclosures</w:t>
      </w:r>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1 – Inputs to the valuation methodology are quoted prices for identical assets or liabilities in active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3 – Inputs to the valuation methodology that are unobservable. Unobservable inputs are those in which little or no market data exists, reflect those that a market participant would use, and are therefore determined using estimates and assumptions developed by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not transferred any instruments between the three levels of the fair value hierarchy.</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carrying value of cash, restricted cash, accounts receivable, accounts payable, and accrued liabilities approximate their respective fair values due to their relative short maturities. We measure our cash equivalents, marketable securities and our liability classified warrants at fair value on a recurring basis. The fair values of such assets and liabilities were as follows as of June 30, 2025 and December 31, 2024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95"/>
        <w:gridCol w:w="146"/>
        <w:gridCol w:w="236"/>
        <w:gridCol w:w="760"/>
        <w:gridCol w:w="146"/>
        <w:gridCol w:w="146"/>
        <w:gridCol w:w="545"/>
        <w:gridCol w:w="1746"/>
        <w:gridCol w:w="146"/>
        <w:gridCol w:w="146"/>
        <w:gridCol w:w="673"/>
        <w:gridCol w:w="1108"/>
        <w:gridCol w:w="146"/>
        <w:gridCol w:w="146"/>
        <w:gridCol w:w="409"/>
        <w:gridCol w:w="1316"/>
        <w:gridCol w:w="295"/>
      </w:tblGrid>
      <w:tr>
        <w:trPr/>
        <w:tc>
          <w:tcPr>
            <w:tcW w:w="20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0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Balance at </w:t>
              <w:b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Quoted Prices in Active Markets for Identical Assets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Other Observable Inputs </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Unobservable Inputs </w:t>
              <w:br/>
              <w:t>(Level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Money market fund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Marketable debt securities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Marketable equity securities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Warrant liabilities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18,801</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18,801</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55"/>
        <w:gridCol w:w="146"/>
        <w:gridCol w:w="275"/>
        <w:gridCol w:w="882"/>
        <w:gridCol w:w="146"/>
        <w:gridCol w:w="146"/>
        <w:gridCol w:w="531"/>
        <w:gridCol w:w="1701"/>
        <w:gridCol w:w="146"/>
        <w:gridCol w:w="146"/>
        <w:gridCol w:w="660"/>
        <w:gridCol w:w="1086"/>
        <w:gridCol w:w="146"/>
        <w:gridCol w:w="146"/>
        <w:gridCol w:w="457"/>
        <w:gridCol w:w="1241"/>
        <w:gridCol w:w="295"/>
      </w:tblGrid>
      <w:tr>
        <w:trPr/>
        <w:tc>
          <w:tcPr>
            <w:tcW w:w="2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Balance at </w:t>
              <w:b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Quoted Prices in Active Markets for Identical Assets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Other Observable Inputs </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Unobservable Inputs </w:t>
              <w:br/>
              <w:t>(Level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Money market fund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Marketable debt securities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Marketable equity securities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Warrant liabilities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Included in cash and cash equivalents in the accompanying condensed consolidated balance sheet. Marketable debt securities purchased with an original maturity of three months or less have been classified as cash equivalents.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Lineage’s marketable equity securities include the shares of stock of OCX and HBL. Both securities have readily determinable fair values quoted on the NASDAQ or TASE (Level 1). These securities are measured at fair value and reported as current assets on the accompanying condensed consolidated balance sheet based on the closing trading price of the security as of the date being presented. Lineage has not owned any shares of OCX since June 30, 2024.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Liability-classified warrants are valued using a Black-Scholes option pricing model that maximizes the use of observable inputs and minimizes the use of unobservable inputs to the extent possible at issuance, and at each reporting period end date while the warrants are outstanding. Changes in the fair value of liability-classified warrants are recorded in the condensed consolidated statements of operations, and reflected as an adjustment to reconcile net loss to net cash used in operating activities in the condensed consolidated statements of cash flows. A significant increase or decrease in these Level 3 inputs could result in a significantly higher or lower fair value measurement.</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a summary of changes to Level 3 fair value measurements for the six months ended June 30, 2025 (in thousands):</w:t>
      </w:r>
    </w:p>
    <w:p>
      <w:pPr>
        <w:pStyle w:val="TextBody"/>
        <w:bidi w:val="0"/>
        <w:jc w:val="both"/>
        <w:rPr/>
      </w:pPr>
      <w:r>
        <w:rPr/>
        <w:t> </w:t>
      </w:r>
    </w:p>
    <w:tbl>
      <w:tblPr>
        <w:tblW w:w="6868" w:type="dxa"/>
        <w:jc w:val="left"/>
        <w:tblInd w:w="0" w:type="dxa"/>
        <w:tblLayout w:type="fixed"/>
        <w:tblCellMar>
          <w:top w:w="28" w:type="dxa"/>
          <w:left w:w="28" w:type="dxa"/>
          <w:bottom w:w="28" w:type="dxa"/>
          <w:right w:w="28" w:type="dxa"/>
        </w:tblCellMar>
      </w:tblPr>
      <w:tblGrid>
        <w:gridCol w:w="4931"/>
        <w:gridCol w:w="146"/>
        <w:gridCol w:w="357"/>
        <w:gridCol w:w="1143"/>
        <w:gridCol w:w="291"/>
      </w:tblGrid>
      <w:tr>
        <w:trPr/>
        <w:tc>
          <w:tcPr>
            <w:tcW w:w="4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w:t>
              <w:br/>
              <w:t>Warrant Liabilities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Change in fair value of warrant liability recognized in the </w:t>
              <w:br/>
              <w:t>   consolidated statement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 xml:space="preserve">Level 3 inputs - </w:t>
      </w:r>
      <w:r>
        <w:rPr>
          <w:rFonts w:ascii="Times New Roman" w:hAnsi="Times New Roman"/>
          <w:color w:val="000000"/>
          <w:sz w:val="20"/>
        </w:rPr>
        <w:t>Significant assumptions used in valuing the warrant liabilities for the six months ended June 30, 2025, were as follows:</w:t>
      </w:r>
    </w:p>
    <w:p>
      <w:pPr>
        <w:pStyle w:val="TextBody"/>
        <w:bidi w:val="0"/>
        <w:jc w:val="both"/>
        <w:rPr/>
      </w:pPr>
      <w:r>
        <w:rPr/>
        <w:t> </w:t>
      </w:r>
    </w:p>
    <w:tbl>
      <w:tblPr>
        <w:tblW w:w="4478" w:type="dxa"/>
        <w:jc w:val="left"/>
        <w:tblInd w:w="0" w:type="dxa"/>
        <w:tblLayout w:type="fixed"/>
        <w:tblCellMar>
          <w:top w:w="28" w:type="dxa"/>
          <w:left w:w="28" w:type="dxa"/>
          <w:bottom w:w="28" w:type="dxa"/>
          <w:right w:w="28" w:type="dxa"/>
        </w:tblCellMar>
      </w:tblPr>
      <w:tblGrid>
        <w:gridCol w:w="2626"/>
        <w:gridCol w:w="146"/>
        <w:gridCol w:w="448"/>
        <w:gridCol w:w="1067"/>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 - 74.46%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 - 4.25%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2.89 - 3.32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expected stock price volatility assumption is determined using historical volatility of the Company’s common stock. The risk-free interest rate assumption is based on the U.S. Treasury yield curve whose term is consistent with the expected term of the stock options. The expected dividend yield is 0% as the Company has not paid and does not anticipate paying dividends on its common stock. At warrant issuance, the expected term represents the period from the warrant issuance to the earlier of (a) May 21, 2028, and (b) the 90th day following the date of the public disclosure of the intent to advance OpRegen (also known as RG6501) into a multi-center phase 2 or 3 clinical trial which includes a control or comparator arm, subject to extension if certain conditions, including equity conditions, some of which are outside of our control, are not satisfied. At each reporting period end date, the expected term is reduced to reflect the remaining period.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 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February 2024 RDO (as such term is defined in Note 10 (Shareholders’ Equity)), we sold 6,730,770 common shares to Broadwood Partners, L.P. (“Broadwood Partners”), an affiliate of Neal Bradsher, a member of our board of directors, and 96,155 common shares to Don Bailey, a member of our board of directors at the time of the February 2024 RDO. See Note 10 (Shareholders’ Equity) for additional information regarding such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January 2025, we sold 7,894,737 common shares and an accompanying warrant to purchase up to 7,894,737 common shares to Broadwood Partners in the November 2024 RDO (as such term is defined in Note 10 (Shareholders’ Equity)). See Note 10 (Shareholders’ Equity) for additional information regarding such offering.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 Shareholders’ Equity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Preferred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is authorized to issue 2,000,000 preferred shares. The preferred shares may be issued in one or more series as the Lineage board of directors may determine by resolution. The Lineage board of directors is authorized to fix the number of shares of any series of preferred shares and to determine or alter the rights, preferences, privileges, and restrictions granted to or imposed on the preferred shares as a class, or upon any wholly unissued series of any preferred shares. The Lineage board of directors may, by resolution, increase or decrease (but not below the number of shares of such series then outstanding) the number of shares of any series of preferred shares subsequent to the issue of shares of that series. There were no preferred shares issued or outstanding as of June 30, 2025 and December 31, 2024.</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Common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is authorized to issue 450,000,000 common shares. As of June 30, 2025 and December 31, 2024, there were 228,356,290 and 220,416,326 common shares issued and outstanding, respectively.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At-The-Market Offering Program</w:t>
      </w:r>
    </w:p>
    <w:p>
      <w:pPr>
        <w:pStyle w:val="TextBody"/>
        <w:bidi w:val="0"/>
        <w:spacing w:before="120" w:after="283"/>
        <w:jc w:val="both"/>
        <w:rPr>
          <w:rFonts w:ascii="Times New Roman" w:hAnsi="Times New Roman"/>
          <w:sz w:val="20"/>
        </w:rPr>
      </w:pPr>
      <w:r>
        <w:rPr>
          <w:rFonts w:ascii="Times New Roman" w:hAnsi="Times New Roman"/>
          <w:color w:val="000000"/>
          <w:sz w:val="20"/>
        </w:rPr>
        <w:t>In May 2020, Lineage entered into a Controlled Equity Offering</w:t>
      </w:r>
      <w:r>
        <w:rPr>
          <w:rFonts w:ascii="Times New Roman" w:hAnsi="Times New Roman"/>
          <w:color w:val="000000"/>
          <w:sz w:val="9"/>
        </w:rPr>
        <w:t>SM</w:t>
      </w:r>
      <w:r>
        <w:rPr>
          <w:rFonts w:ascii="Times New Roman" w:hAnsi="Times New Roman"/>
          <w:color w:val="000000"/>
          <w:sz w:val="20"/>
        </w:rPr>
        <w:t xml:space="preserve"> Sales Agreement (the “Prior Sales Agreement”) with Cantor Fitzgerald &amp; Co., as sales agent, pursuant to which Lineage could sell its common shares from time to time through an ATM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2021, Lineage filed a prospectus supplement with the SEC in connection with the offer and sale of up to $64.1 million of common shares through the ATM program under the Prior Sales Agreement, which was updated, amended and supplemented by a prospectus supplement filed with the SEC on May 18, 2023 (the prospectus supplement filed in December 2021, as updated, amended and supplemented by the prospectus supplement filed in May 2023, the “Prior Prospectus Supplement”).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2024, Lineage terminated the Prior Sales Agreement and entered into a sales agreement (the “ATM Sales Agreement”) with B. Riley Securities, Inc., as sales agent (“Sales Agent”), under which Lineage may offer and sell its common shares from time to time through an ATM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March 2024, Lineage filed a prospectus supplement with the SEC in connection with the offer and sale of $40.00 million of common shares through the ATM program under the ATM Sales Agreement which was updated, amended and supplemented by a prospectus supplement filed with the SEC on May 14, 2024 in connection with the offer and sale of $39.97 million of common shares through the ATM program under the ATM Sales Agreement (the prospectus supplement filed in March 2024, as updated, amended and supplemented by the prospectus supplement filed in May 2024, the “2024 Prospectus Supplement”).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Prior to its termination in March 2024, Lineage had sold 4,912,803 common shares under the Prior Prospectus Supplement at a weighted average price per share of $1.41 for gross proceeds of $6.9 million. During the three months ended March 31, 2024, Lineage sold 30,000 common shares under the Prior Prospectus Supplement at a weighted average price per share of $1.23 for gross proceeds of $37,000. During the three months ended June 30, 2024, Lineage sold 25,830 common shares under the 2024 Prospectus Supplement at a weighted average price per share of $1.30 for gross proceeds of $33,000. Lineage has not sold any common shares under the 2024 Prospectus Supplement since June 30, 2024. As of June 30, 2025, $39.97 million remained available for sale under the 2024 Prospectus Supplement.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shares offered under the 2024 Prospectus Supplement are registered pursuant to Lineage’s effective shelf registration statement on Form S-3 (File No. 333-277758), which was filed with the SEC on March 7, 2024 and declared effective on May 14,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agreed to pay Sales Agent a commission of up to 3.0% of the aggregate gross proceeds from the sale of shares under the ATM Sales Agreement, reimburse its legal fees and disbursements, and provide Sales Agent with customary indemnification and contribution rights. The Sales Agreement may be terminated by Sales Agent or Lineage at any time upon notice to the other party, or by Sales Agent at any time in certain circumstances, including the occurrence of a material and adverse change in Lineage’s business or financial condition that makes it impractical or inadvisable to market the shares or to enforce contracts for the sale of the shares.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February 2024 Registered Direct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February 2024, Lineage entered into a stock purchase agreement with certain investors relating to the purchase and sale in a registered direct offering of an aggregate of 13,461,540 of its common shares (the “February 2024 RDO”). The offering price was $1.04 per common share resulting in gross proceeds of $14.0 million. Finance related fees for this offering totaled approximately $0.1 million. See Note 9 (Related Party Transactions) for shares issued in this offering to a related party.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purchase and sale of our common shares in the February 2024 RDO was made pursuant to the registration statement on Form S-3 (File No. 333-254167), filed with the SEC on March 5, 2021 and declared effective on March 19, 2021.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November 2024 Registered Direct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19, 2024, we entered into securities purchase agreements with unaffiliated healthcare focused institutional investors and with Broadwood Partners relating to the purchase and sale in a registered direct offering of an aggregate of up to 39,473,688 of our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common shares and accompanying warrants to purchase an aggregate of up to 39,473,688 of our common shares at a combined purchase price of $0.76 per common share and accompanying warrant (the “November 2024 RDO”).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November 21, 2024, we closed the first tranche of the offering and in connection therewith we issued to the unaffiliated healthcare focused institutional investors an aggregate of 31,578,951 common shares and accompanying warrants to purchase an aggregate of up to 31,578,951 of our common shares at a combined purchase price of $0.76 per common share and accompanying warrant. The warrants have an exercise price of $0.91 per common share, have been exercisable since May 21, 2025 and will expire on the earlier of (a) May 21, 2028, and (b) the 90th day following the date of the public disclosure of the intent to advance OpRegen® (also known as RG6501) into a multi-center phase 2 or 3 clinical trial which includes a control or comparator arm, subject to extension if certain conditions, including equity conditions, some of which are outside of our control, are not satisfied. The warrants also provide for cashless exercise in certain circumstances, including if the shares issuable upon exercise thereof are not covered by an effective registration statement. The aggregate gross proceeds from this closing was $24 million, with $2.3 million for related issuance costs. The warrants issued at this closing had a fair value of approximately $7.9 million at issuance and are classified as warrant liabilities in the Company’s condensed consolidated interim financial statements. See Note 8 (Fair Value Measurements)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offering of the securities to Broadwood Partners was subject to obtaining shareholder approval to satisfy applicable NYSE American rules, which was obtained at our special meeting of shareholders on January 27, 2025. Following such meeting, we closed the second tranche of the offering and in connection therewith we issued to Broadwood Partners 7,894,737 common shares and an accompanying warrant to purchase up to 7,894,737 common shares, at a combined purchase price of $0.76 per common share and accompanying warrant. The terms of such warrant are substantially the same as those described above. The aggregate gross proceeds from this closing was $6.0 million, with approximately $0.6 million for related issuance costs. The warrant issued to Broadwood Partners at this closing had a fair value of approximately $2.1 million at issuance and is classified as a warrant liability in the Company’s condensed consolidated interim financial statements. See Note 8 (Fair Value Measurements) and Note 9 (Related Party Transactions)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entered into an engagement letter with H.C. Wainwright &amp; Co., LLC (“Wainwright”), pursuant to which Wainwright agreed to serve as our exclusive placement agent, on a reasonable best efforts basis, in connection with the November 2024 RDO. Pursuant to the engagement letter, we paid Wainwright a cash fee equal to 7.0% of the aggregate gross proceeds and a management fee equal to 1.0% of the aggregate gross proceeds we received at each closing. In addition, at each closing, we issued to Wainwright (or its designees) warrants to purchase our common shares with terms that are substantially similar to those described above except that the warrants issued to Wainwright (or its designees) have an exercise price of $0.95 per share. In the aggregate we issued to Wainwright (or its designees) warrants to purchase up to 1,973,684 of our common shares. The warrants issued to Wainwright (or its designees) in connection with the first and second closings had a fair value of approximately $0.4 million and $0.1 million, respectively, at issuance and are classified as warrant liabilities in the Company’s condensed consolidated interim financial statements. See Note 8 (Fair Value Measurements)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purchase and sale of our common shares and accompanying warrants in the November 2024 RDO was made pursuant to the registration statement on Form S-3 (File No. 333-277758), filed with the SEC on March 7, 2024 and declared effective on May 14, 2024. </w:t>
      </w:r>
    </w:p>
    <w:p>
      <w:pPr>
        <w:pStyle w:val="TextBody"/>
        <w:bidi w:val="0"/>
        <w:spacing w:before="360" w:after="283"/>
        <w:jc w:val="both"/>
        <w:rPr>
          <w:rFonts w:ascii="Times New Roman" w:hAnsi="Times New Roman"/>
          <w:sz w:val="20"/>
        </w:rPr>
      </w:pPr>
      <w:r>
        <w:rPr>
          <w:rFonts w:ascii="Times New Roman" w:hAnsi="Times New Roman"/>
          <w:b/>
          <w:color w:val="000000"/>
          <w:sz w:val="20"/>
        </w:rPr>
        <w:t>11. Stock-Based Awards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Equity Incentive Plan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2021, our shareholders approved the Lineage Cell Therapeutics, Inc. 2021 Equity Incentive Plan, and our shareholders approved amendments to increase the number of common shares that may be issued thereunder by 19,500,000 in September 2023 and by an additional 19,500,000 in June 2025 (as amended to date, the “2021 Plan”). The 2021 Plan provides for the grant of incentive stock options, non-statutory stock options, stock appreciation rights, restricted stock awards, restricted stock units (“RSUs”), and other stock awards. Generally, all of our employees (including those of our affiliates), non-employee directors and consultants are eligible to participate in the 2021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Subject to adjustment for certain changes in our capitalization, the aggregate number of our common shares that may be issued under the 2021 Plan will not exceed the sum of (i) 54,000,000 shares and (ii) the number of shares subject to awards granted under the Lineage Cell Therapeutics Inc. 2012 Equity Incentive Plan (the “2012 Plan”) that were outstanding when the 2021 Plan became effective and are not issued because such awards expire or otherwise terminate. As a result of the approval of the 2021 Plan by our shareholders,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additional awards will be granted under the 2012 Plan. As of June 30, 2025, there were 35,247,039 shares available for grant under the 2021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activity under the 2021 Plan is as follows (in thousands, except per share amounts):</w:t>
      </w:r>
    </w:p>
    <w:p>
      <w:pPr>
        <w:pStyle w:val="TextBody"/>
        <w:bidi w:val="0"/>
        <w:jc w:val="both"/>
        <w:rPr/>
      </w:pPr>
      <w:r>
        <w:rPr/>
        <w:t> </w:t>
      </w:r>
    </w:p>
    <w:tbl>
      <w:tblPr>
        <w:tblW w:w="10094" w:type="dxa"/>
        <w:jc w:val="left"/>
        <w:tblInd w:w="0" w:type="dxa"/>
        <w:tblLayout w:type="fixed"/>
        <w:tblCellMar>
          <w:top w:w="28" w:type="dxa"/>
          <w:left w:w="28" w:type="dxa"/>
          <w:bottom w:w="28" w:type="dxa"/>
          <w:right w:w="28" w:type="dxa"/>
        </w:tblCellMar>
      </w:tblPr>
      <w:tblGrid>
        <w:gridCol w:w="3481"/>
        <w:gridCol w:w="146"/>
        <w:gridCol w:w="199"/>
        <w:gridCol w:w="926"/>
        <w:gridCol w:w="166"/>
        <w:gridCol w:w="146"/>
        <w:gridCol w:w="350"/>
        <w:gridCol w:w="775"/>
        <w:gridCol w:w="146"/>
        <w:gridCol w:w="146"/>
        <w:gridCol w:w="250"/>
        <w:gridCol w:w="800"/>
        <w:gridCol w:w="146"/>
        <w:gridCol w:w="146"/>
        <w:gridCol w:w="534"/>
        <w:gridCol w:w="1446"/>
        <w:gridCol w:w="2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Options </w:t>
              <w:br/>
              <w:t>Outstanding</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br/>
              <w:t>(in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expired/forfeited/cancelled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Options exercisable and expected to vest </w:t>
              <w:br/>
              <w:t>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5626" w:type="dxa"/>
        <w:jc w:val="left"/>
        <w:tblInd w:w="0" w:type="dxa"/>
        <w:tblLayout w:type="fixed"/>
        <w:tblCellMar>
          <w:top w:w="28" w:type="dxa"/>
          <w:left w:w="28" w:type="dxa"/>
          <w:bottom w:w="28" w:type="dxa"/>
          <w:right w:w="28" w:type="dxa"/>
        </w:tblCellMar>
      </w:tblPr>
      <w:tblGrid>
        <w:gridCol w:w="2596"/>
        <w:gridCol w:w="146"/>
        <w:gridCol w:w="234"/>
        <w:gridCol w:w="772"/>
        <w:gridCol w:w="166"/>
        <w:gridCol w:w="146"/>
        <w:gridCol w:w="397"/>
        <w:gridCol w:w="878"/>
        <w:gridCol w:w="2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RSUs </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br/>
              <w:t>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RSUs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summary of activity of the 2012 Plan, and the 2018 inducement option (which was issued to a Lineage executive outside of Lineage’s equity plans), is as follows (in thousands, except per share amounts):</w:t>
      </w:r>
    </w:p>
    <w:p>
      <w:pPr>
        <w:pStyle w:val="TextBody"/>
        <w:bidi w:val="0"/>
        <w:jc w:val="both"/>
        <w:rPr/>
      </w:pPr>
      <w:r>
        <w:rPr/>
        <w:t> </w:t>
      </w:r>
    </w:p>
    <w:tbl>
      <w:tblPr>
        <w:tblW w:w="6115" w:type="dxa"/>
        <w:jc w:val="left"/>
        <w:tblInd w:w="0" w:type="dxa"/>
        <w:tblLayout w:type="fixed"/>
        <w:tblCellMar>
          <w:top w:w="28" w:type="dxa"/>
          <w:left w:w="28" w:type="dxa"/>
          <w:bottom w:w="28" w:type="dxa"/>
          <w:right w:w="28" w:type="dxa"/>
        </w:tblCellMar>
      </w:tblPr>
      <w:tblGrid>
        <w:gridCol w:w="3116"/>
        <w:gridCol w:w="146"/>
        <w:gridCol w:w="199"/>
        <w:gridCol w:w="926"/>
        <w:gridCol w:w="166"/>
        <w:gridCol w:w="146"/>
        <w:gridCol w:w="350"/>
        <w:gridCol w:w="775"/>
        <w:gridCol w:w="291"/>
      </w:tblGrid>
      <w:tr>
        <w:trPr/>
        <w:tc>
          <w:tcPr>
            <w:tcW w:w="3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Options </w:t>
              <w:br/>
              <w:t>Outstanding</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Exercise Price</w:t>
              <w:br/>
              <w:t>(per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expired/forfeited/cancelled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within the condensed consolidated statements of operations include stock-based compensation expense as follows (in thousands):</w:t>
      </w:r>
    </w:p>
    <w:p>
      <w:pPr>
        <w:pStyle w:val="TextBody"/>
        <w:bidi w:val="0"/>
        <w:jc w:val="both"/>
        <w:rPr/>
      </w:pPr>
      <w:r>
        <w:rPr/>
        <w:t> </w:t>
      </w:r>
    </w:p>
    <w:tbl>
      <w:tblPr>
        <w:tblW w:w="8194" w:type="dxa"/>
        <w:jc w:val="left"/>
        <w:tblInd w:w="0" w:type="dxa"/>
        <w:tblLayout w:type="fixed"/>
        <w:tblCellMar>
          <w:top w:w="28" w:type="dxa"/>
          <w:left w:w="28" w:type="dxa"/>
          <w:bottom w:w="28" w:type="dxa"/>
          <w:right w:w="28" w:type="dxa"/>
        </w:tblCellMar>
      </w:tblPr>
      <w:tblGrid>
        <w:gridCol w:w="3651"/>
        <w:gridCol w:w="146"/>
        <w:gridCol w:w="211"/>
        <w:gridCol w:w="572"/>
        <w:gridCol w:w="146"/>
        <w:gridCol w:w="146"/>
        <w:gridCol w:w="211"/>
        <w:gridCol w:w="572"/>
        <w:gridCol w:w="146"/>
        <w:gridCol w:w="146"/>
        <w:gridCol w:w="211"/>
        <w:gridCol w:w="571"/>
        <w:gridCol w:w="146"/>
        <w:gridCol w:w="146"/>
        <w:gridCol w:w="211"/>
        <w:gridCol w:w="57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As of June 30, 2025, total unrecognized compensation costs related to unvested stock options and unvested RSUs under all equity plans, was $8.5 million, which is expected to be recognized as expense over a weighted average period of approximately 2.8 years for stock options and 0.9 years for RSUs.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Basic and diluted net income (loss) per share attributable to common shareholders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earnings per share is calculated by dividing net income or loss attributable to Lineage common shareholders by the weighted average number of common shares outstanding, net of stock options and RSUs, subject to repurchase by Lineage, if any, during the period. Diluted earnings per share is calculated by dividing the net income or loss attributable to Lineage common shareholders by the weighted average number of common shares outstanding, adjusted for the effects of potentially dilutive common shares issuable under outstanding stock options, restricted stock awards and warrants, using the treasury-stock method, convertible preferred stock, if any, using the if-converted method, and treasury stock held by subsidiaries, if 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and six months ended June 30, 2025 and 2024, Lineage reported a net loss attributable to common shareholders, and therefore, all potentially dilutive common shares were considered antidilutive for those periods.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common share equivalents were excluded from the computation of diluted net loss per common share for the periods presented because including them would have been antidilutive (in thousands):</w:t>
      </w:r>
    </w:p>
    <w:p>
      <w:pPr>
        <w:pStyle w:val="TextBody"/>
        <w:bidi w:val="0"/>
        <w:spacing w:before="40" w:after="283"/>
        <w:jc w:val="both"/>
        <w:rPr/>
      </w:pPr>
      <w:r>
        <w:rPr/>
        <w:t> </w:t>
      </w:r>
    </w:p>
    <w:tbl>
      <w:tblPr>
        <w:tblW w:w="5063" w:type="dxa"/>
        <w:jc w:val="left"/>
        <w:tblInd w:w="0" w:type="dxa"/>
        <w:tblLayout w:type="fixed"/>
        <w:tblCellMar>
          <w:top w:w="28" w:type="dxa"/>
          <w:left w:w="28" w:type="dxa"/>
          <w:bottom w:w="28" w:type="dxa"/>
          <w:right w:w="28" w:type="dxa"/>
        </w:tblCellMar>
      </w:tblPr>
      <w:tblGrid>
        <w:gridCol w:w="1876"/>
        <w:gridCol w:w="146"/>
        <w:gridCol w:w="215"/>
        <w:gridCol w:w="995"/>
        <w:gridCol w:w="215"/>
        <w:gridCol w:w="215"/>
        <w:gridCol w:w="215"/>
        <w:gridCol w:w="995"/>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and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provision for income taxes for interim periods is generally determined using an estimated annual effective tax rate as prescribed by ASC 740-270, </w:t>
      </w:r>
      <w:r>
        <w:rPr>
          <w:rFonts w:ascii="Times New Roman" w:hAnsi="Times New Roman"/>
          <w:i/>
          <w:color w:val="000000"/>
          <w:sz w:val="20"/>
        </w:rPr>
        <w:t>Income Taxes, Interim Reporting</w:t>
      </w:r>
      <w:r>
        <w:rPr>
          <w:rFonts w:ascii="Times New Roman" w:hAnsi="Times New Roman"/>
          <w:color w:val="000000"/>
          <w:sz w:val="20"/>
        </w:rPr>
        <w:t>. The effective tax rate may be subject to fluctuations during the year as new information is obtained, which may affect the assumptions used to estimate the annual effective tax rate, including factors such as valuation allowances and changes in valuation allowances against deferred tax assets, the recognition or de-recognition of tax benefits related to uncertain tax positions, if any, and changes in or the interpretation of tax laws in jurisdictions where Lineage conducts business. ASC 740-270 also states that if an entity is unable to reliably estimate some or a part of its ordinary income or loss, the income tax provision or benefit applicable to the item that cannot be estimated shall be reported in the interim period in which the item is reported. For items that Lineage cannot reliably estimate on an annual basis, Lineage uses the actual year to date effective tax rate rather than an estimated annual effective tax rate to determine the tax effect of each item, including the use of all available net operating losses and other credits or deferred tax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ASC 740, a valuation allowance is provided when it is more likely than not that some portion of the deferred tax assets will not be realized. Lineage established a full valuation allowance as of December 31, 2018 due to the uncertainty of realizing future tax benefits from its net operating loss carryforwards and other deferred tax assets, including foreign net operating losses generated by its subsidiaries.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4, 2025, President Trump signed H.R. 1, the “One Big Beautiful Bill Act”, into law. In accordance with U.S. GAAP, the Company will account for the tax effects of changes in tax law in the period of enactment which is the third quarter of 2025. We are currently in the process of analyzing the tax impacts of the law change, but we do not expect a material impact on our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Lineage did not record a deferred tax benefit or provision expense for either of the six months ended June 30, 2025 or 2024.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Real Property Leases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Carlsbad 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2019, Lineage entered into a lease for approximately 8,841 square feet of rentable space in an office park in Carlsbad, California. The lease was amended in December 2022 and the term was extended for a period of thirty-seven months (the “Extended Term”) commencing on March 1, 2023 (the “Extended Term Commencement Date”). Monthly base rent for the first twelve months of the Extended Term was $25,200 and is subject to 3% annual increases. Rent was abated for months two through four of the Extended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 As security for the performance of its obligations under the lease, Lineage provided the landlord a security deposit of $17,850, which is included in prepaid expenses and other current assets on the condensed consolidated balance sheet as of June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base rent, Lineage pays a pro-rata portion of increases in certain expenses, including real property taxes, utilities (to the extent not separately metered to the leased space) and the landlord’s operating expenses, over the amounts of those expenses incurred by the landlord. These pro-rata charges are expensed as incurred and excluded from the calculation of the right-of-use assets and lease liabilities.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Carlsbad Sublease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2022, Lineage entered into a sublease for approximately 4,500 square feet of rentable industrial space in Carlsbad, California for a term that commenced on October 1, 2022 and was originally set to expire on March 31, 2024. In February 2024, Lineage extended the term of the sublease for 24 months through March 31, 2026 on similar terms. During the extension period, the base rent is $23,000 per month for the first twelve months and will increase to $23,500 for the remaining twelve months. As security for the performance of its obligations under the sublease, Lineage provided the landlord with a security deposit of $22,500, which is included in prepaid expenses and other current assets on the condensed consolidated balance sheet as of June 30, 2025.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CCN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2025, CCN leases approximately 2,096 square meters (approximately 22,600 square feet) of combined office and laboratory space in Jerusalem, Israel under a master lease, as amended, that expires December 31, 2027. Cumulative base rent and construction allowance payments are approximately 165,000 Israeli New Shekels (‘ILS”) per month (approximately $49,000 as of June 30, 2025), excluding any future rent escalations, and includes options to extend the lease term for five years. The U.S. dollar value of the ILS denominated base rent and construction allowance payments fluctuates based upon currency exchange rates. In addition to base rent, CCN pays a pro-rata share of real property taxes and certain costs related to the operation and maintenance of the building in which the leased premises are located, including parking usage fees. These pro-rata charges are expensed as incurred and excluded from the calculation of the ROU assets and lease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CCN has security deposits denominated in ILS with the landlord for this master lease held as restricted cash during the term of the lease. The U.S. dollar value of the ILS denominated security deposits fluctuates based upon currency exchange rates and was $504,000 as of June 30, 2025, which is included in deposits and other long-term assets on the condensed consolidated balance sheet.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Supplemental Information –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Supplemental cash flow information related to leases is as follows (in thousands):</w:t>
      </w:r>
    </w:p>
    <w:p>
      <w:pPr>
        <w:pStyle w:val="TextBody"/>
        <w:bidi w:val="0"/>
        <w:jc w:val="left"/>
        <w:rPr/>
      </w:pPr>
      <w:r>
        <w:rPr/>
        <w:t> </w:t>
      </w:r>
    </w:p>
    <w:tbl>
      <w:tblPr>
        <w:tblW w:w="7916" w:type="dxa"/>
        <w:jc w:val="left"/>
        <w:tblInd w:w="0" w:type="dxa"/>
        <w:tblLayout w:type="fixed"/>
        <w:tblCellMar>
          <w:top w:w="28" w:type="dxa"/>
          <w:left w:w="28" w:type="dxa"/>
          <w:bottom w:w="28" w:type="dxa"/>
          <w:right w:w="28" w:type="dxa"/>
        </w:tblCellMar>
      </w:tblPr>
      <w:tblGrid>
        <w:gridCol w:w="5311"/>
        <w:gridCol w:w="146"/>
        <w:gridCol w:w="280"/>
        <w:gridCol w:w="560"/>
        <w:gridCol w:w="194"/>
        <w:gridCol w:w="194"/>
        <w:gridCol w:w="280"/>
        <w:gridCol w:w="560"/>
        <w:gridCol w:w="39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Cash paid for amounts included in the measurement of </w:t>
              <w:br/>
              <w:t>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Right-of-use assets obtained in exchange for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Supplemental balance sheet information related to leases was as follows (in thousands, except lease term and discount rate):</w:t>
      </w:r>
    </w:p>
    <w:p>
      <w:pPr>
        <w:pStyle w:val="TextBody"/>
        <w:bidi w:val="0"/>
        <w:jc w:val="both"/>
        <w:rPr/>
      </w:pPr>
      <w:r>
        <w:rPr/>
        <w:t> </w:t>
      </w:r>
    </w:p>
    <w:tbl>
      <w:tblPr>
        <w:tblW w:w="7055" w:type="dxa"/>
        <w:jc w:val="left"/>
        <w:tblInd w:w="0" w:type="dxa"/>
        <w:tblLayout w:type="fixed"/>
        <w:tblCellMar>
          <w:top w:w="28" w:type="dxa"/>
          <w:left w:w="28" w:type="dxa"/>
          <w:bottom w:w="28" w:type="dxa"/>
          <w:right w:w="28" w:type="dxa"/>
        </w:tblCellMar>
      </w:tblPr>
      <w:tblGrid>
        <w:gridCol w:w="3591"/>
        <w:gridCol w:w="146"/>
        <w:gridCol w:w="271"/>
        <w:gridCol w:w="734"/>
        <w:gridCol w:w="271"/>
        <w:gridCol w:w="146"/>
        <w:gridCol w:w="352"/>
        <w:gridCol w:w="953"/>
        <w:gridCol w:w="591"/>
      </w:tblGrid>
      <w:tr>
        <w:trPr/>
        <w:tc>
          <w:tcPr>
            <w:tcW w:w="3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 years</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 years</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minimum lease commitments are as follows as of June 30, 2025 (in thousands):</w:t>
      </w:r>
    </w:p>
    <w:p>
      <w:pPr>
        <w:pStyle w:val="TextBody"/>
        <w:bidi w:val="0"/>
        <w:jc w:val="left"/>
        <w:rPr/>
      </w:pPr>
      <w:r>
        <w:rPr/>
        <w:t> </w:t>
      </w:r>
    </w:p>
    <w:tbl>
      <w:tblPr>
        <w:tblW w:w="6020" w:type="dxa"/>
        <w:jc w:val="left"/>
        <w:tblInd w:w="0" w:type="dxa"/>
        <w:tblLayout w:type="fixed"/>
        <w:tblCellMar>
          <w:top w:w="28" w:type="dxa"/>
          <w:left w:w="28" w:type="dxa"/>
          <w:bottom w:w="28" w:type="dxa"/>
          <w:right w:w="28" w:type="dxa"/>
        </w:tblCellMar>
      </w:tblPr>
      <w:tblGrid>
        <w:gridCol w:w="2401"/>
        <w:gridCol w:w="146"/>
        <w:gridCol w:w="367"/>
        <w:gridCol w:w="998"/>
        <w:gridCol w:w="166"/>
        <w:gridCol w:w="146"/>
        <w:gridCol w:w="394"/>
        <w:gridCol w:w="791"/>
        <w:gridCol w:w="6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Operating lease expense was $0.3 million and $0.6 million for each of the three and six months ended June 30, 2025 and 2024.</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Collaborations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Roche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2021, Lineage entered into the Roche Agreement, wherein Lineage granted to Roche exclusive worldwide rights to develop and commercialize RPE cell therapies, including Lineage’s proprietary cell therapy known as OpRegen, for the treatment of ocular disorders, including GA secondary to AMD.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terms of the Roche Agreement, Roche paid Lineage a $50.0 million upfront payment and Lineage is eligible to receive up to an additional $620.0 million in developmental, regulatory and commercialization milestone payments. Lineage also is eligible for tiered double-digit percentage royalties on net sales of OpRegen in the U.S. and other major markets. All regulatory and commercial milestone payments and royalty payments are subject to the existence of certain intellectual property rights that cover OpRegen at the time such payments would otherwise become due, and the royalty payments on net sales of OpRegen are subject to financial offsets based on the existence of competing products. Roche assumed responsibility for further clinical development and commercialization of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OpRegen. Lineage is responsible for completing activities related to the ongoing clinical study, for which enrollment is complete, and performing certain manufacturing and process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earlier terminated by either party, the Roche Agreement will expire on a product-by-product and country-by-country basis upon the expiration of all of Roche’s payment obligations under the agreement. Roche may terminate the agreement in its entirety, or on a product-by-product or country-by-country basis, at any time with advance written notice. Either party may terminate the agreement in its entirety with written notice for the other party’s material breach if such party fails to cure the breach or upon certain insolvency events involving the other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January 2022, Lineage received the $50.0 million upfront payment from Roche. Subsequently, Lineage, via CCN, paid $12.1 million to the IIA, and $8.9 million to Hadasit Medical Research Services and Development Ltd. (“Hadasit”). Such payments were made in accordance with obligations under the Innovation Law (as discussed below) and under the terms of CCN’s agreements with Hadasit (as discussed below). The payment obligation to Hadasit was reduced by $1.9 million in accordance with the provisions of such agreements discussed below that reduce the sublicensing fee payable to Hadasit for costs related to Lineage’s performance obligations under the Roche Agreement. To the extent such costs are not incurred within five years after the execution of the Roche Agreement, CCN will be required to pay Hadasit 21.5% of the amount of costs not incurred.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Agreements with Hadasit and IIA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OpRegen program was supported in part with licenses to technology obtained from Hadasit, the technology transfer company of Hadassah Medical Center, and through a series of research grants from the IIA, an independent agency created to address the needs of global innovation ecosystems. A subset of the intellectual property underlying OpRegen was originally generated at Hadassah Medical Center and licensed to CCN for further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Encouragement of Research, Development and Technological Innovation in the Industry Law 5744, and the regulations, guidelines, rules, procedures and benefit tracks thereunder (collectively, the “Innovation Law”), annual research and development programs that meet specified criteria and were approved by a committee of the IIA were eligible for grants. The grants awarded were typically up to 50% of the project’s expenditures, as determined by the IIA committee and subject to the benefit track under which the grant was awarded.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terms of the grants under the Innovation Law generally require that the products developed as part of the programs under which the grants were given be manufactured in Israel. The know-how developed thereunder may not be transferred outside of Israel unless prior written approval is received from the IIA. Transfer of IIA-funded know-how outside of Israel is subject to approval and payment of a redemption fee to the IIA calculated according to formulas provided under the Innovation Law. In November 2021, the IIA research committee approved an application made by CCN with respect to the grant of an exclusive license and transfer of the technological know-how for OpRegen to Roche. Under the provisions for the redemption fee, Lineage paid the IIA approximately 24.1% of the upfront payment it received under the Roche Agreement, or $12.1 million, and is obligated to pay the IIA approximately 24.1% of any milestone and royalty payments which may be received under the Roche Agreement, up to an aggregate cap on all payments, such cap growing over time via interest accrual until paid in full. As of June 30, 2025, the aggregate cap amount was approximately $96.4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Second Amended and Restated License Agreement, dated June 15, 2017, between CCN and Hadasit, and a certain letter agreement entered into on December 17, 2021, CCN paid a sublicensing fee to Hadasit of $8.9 million or 21.5% of the $50.0 million upfront payment under the Roche Agreement (subject to certain reductions), and CCN is obligated to pay Hadasit (i) a maximum of 21.5% of all milestone payments Lineage receives under the Roche Agreement (subject to certain reductions, including for costs related to Lineage’s performance obligations under the Roche Agreement), and (ii) up to 50% of all royalty payments (subject to a maximum payment of 5% of net sales of products), Lineage receives under the Roche Agreement. The letter agreement generally terminates upon the termination of the Roche Agreement.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Second Amendment to Clinical Trial and Option Agreement and License Agreement with Cancer Research UK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2020, Lineage and Asterias entered into a Second Amendment to the Clinical Trial and Option Agreement (the “Second CTOA Amendment”) with CRUK and Cancer Research Technology (“CRT”). The Second CTOA Amendment amended the initial agreement and the first amendment to the Clinical Trial and Option Agreement, each of which is dated September 8, 2014, between Asterias, CRUK and CRT. Pursuant to the Second CTOA Amendment, Lineage assumed all obligations of Asterias and exercised early its option to acquire data generated in the Phase 1 clinical trial of VAC2 in non-small cell lung cancer being conducted by CRUK.</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and CRT effectuated the option by simultaneously entering into a license agreement (the “CRT License Agreement”) pursuant to which Lineage paid a signature fee of £1,250,000 (approximately $1.6 million based upon exchange rates in effect when the fee was paid). For the primary licensed product for the first indication, the CRT License Agreement provides for milestone fees of up to £8,000,000 based upon initiation of a Phase 3 clinical trial and the filing for regulatory approval and up to £22,500,000 in sales-based milestones payments. Additional milestone fees and sales-based milestone payments would be payable for other products or indications, and mid-single-digit royalty payments are payable on sales of commercial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Either party may terminate the CRT License Agreement for the uncured material breach of the other party. CRT may terminate the CRT License Agreement in the case of Lineage’s insolvency or if Lineage ceases all development and commercialization of all products under the CRT License Agreement.</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Effective June 30, 2025, Lineage determined that it was no longer going to pursue the program, including development and commercialization of all products. In conjunction therewith, CRT notified Lineage of their termination of the CRT License Agreement. Further, in conjunction therewith, Lineage notified Immunomic Therapeutics, Inc. (“ITI”) of the termination of the ITI Agreement under the terms of the ITI Agreement. The Company has abandoned all future development efforts and will no longer prosecute any of the issued patents related to the VAC platform. Accordingly, the Company performed an impairment assessment of the VAC platform IPR&amp;D intangible asset which resulted in a non-cash, pre-tax impairment charge of $14.8 million. Additionally, Lineage recognized the remaining deferred revenue amount of approximately $0.7 million, as of the effective date of the termination of the ITI Agreement, since Lineage had no remaining performance obligations under such agreement. See Note 6 (Goodwill and Intangible Assets, Net) to our condensed consolidated interim financial statements included in this report for additional information.</w:t>
      </w:r>
    </w:p>
    <w:p>
      <w:pPr>
        <w:pStyle w:val="TextBody"/>
        <w:bidi w:val="0"/>
        <w:spacing w:before="200" w:after="283"/>
        <w:jc w:val="both"/>
        <w:rPr>
          <w:rFonts w:ascii="Times New Roman" w:hAnsi="Times New Roman"/>
          <w:sz w:val="20"/>
        </w:rPr>
      </w:pPr>
      <w:r>
        <w:rPr>
          <w:rFonts w:ascii="Times New Roman" w:hAnsi="Times New Roman"/>
          <w:i/>
          <w:color w:val="000000"/>
          <w:sz w:val="20"/>
        </w:rPr>
        <w:t>Other Contingent Obligations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obligations under license agreements and grants received from government entities to make future payments to third parties, which become due and payable on the achievement of certain development, regulatory and commercial milestones or on the sublicense of our rights to another party. These commitments include sublicense fees, milestone payments, redemption fees and royalties. Sublicense fees are payable to licensors or government entities when we sublicense underlying intellectual property to third parties; the fees are based on a percentage of the license-related revenue we receive from sublicensees. Milestone payments are due to licensors or government entities upon the future achievement of certain development and regulatory milestones. Redemption fees due to the IIA under the Innovation Law are due upon receipt of any milestone or royalty payment received in respect of IIA-funded programs. Royalties are payable to licensors or government entities based on a percentage of net sales of licensed products. As of June 30, 2025, we have not included these commitments on our condensed consolidated balance sheet because the achievement and timing of these events are not fixed and determinable.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Litigation – 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are subject to legal proceedings and claims in the ordinary course of business. While management presently believes that the ultimate outcome of these proceedings, individually and in the aggregate, will not materially harm our financial position, cash flows, or overall trends in results of operations, legal proceedings are subject to inherent uncertainties, and unfavorable rulings or outcomes could occur that have individually or in aggregate, a material adverse effect on our business, financial condition or operating results. We are not currently subject to any pending material litigation, other than ordinary routine litigation incidental to our business.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HBL Books and Records Request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April 17, 2023, CCN received a motion for disclosure of documents pursuant to Section 198A of the Israeli Companies Law 5759-1999. The motion was filed in the district court in Tel Aviv-Yafo (the “Court”) by HBL Hadasit Bio-Holdings Ltd. (“HBL”), currently an approximately 5% shareholder of CCN. According to the motion, the requested production of documents is intended to allow HBL to examine the possibility of pursuing a derivative action related to, among other things, the validity of an intercompany Collaboration and License Agreement (the “Intercompany Agreement”) entered into between Lineage and CCN pursuant to which CCN conveyed certain rights and other assets to Lineage, and Lineage agreed to undertake certain liabilities and obligations of CCN relating to the OpRegen® program. In its motion, HBL alleges, among other things, that Lineage, in its capacity as CCN’s controlling shareholder, and members of CCN’s board of directors caused damage to CCN because the Intercompany Agreement was an interested party transaction that was not fairly priced and exploits CCN’s resources for the benefit of Lineage. The motion seeks an order to compel CCN to disclose and deliver to HBL the documents described in the motion, such additional, cumulative, or alternative relief as the Court deems appropriate, and reimbursement of HBL’s expenses, including attorneys’ fees. The Court held a hearing on the motion on March 14, 2024 after which the Court proposed, and the parties agreed, to retain a third-party valuation firm to assess the fairness of the valuation that was performed in support of the Intercompany Agreement. In June 2025, the third party valuation firm delivered its report stating that in its opinion the consideration paid by Lineage to CCN under the Intercompany Agreement was insufficient. The Court subsequently notified the parties that they were to advise the Court whether they have settled the matter between themselves by no later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than September 7, 2025. If not settled by such date, then the Court will hold a hearing on HBL’s motion. It is not possible at this time to assess the likelihood of whether the outcome of this proceeding will have a material adverse effect on Lineage’s consolidated results of operations, cash flows or financial position. Therefore, in accordance with ASC 450, </w:t>
      </w:r>
      <w:r>
        <w:rPr>
          <w:rFonts w:ascii="Times New Roman" w:hAnsi="Times New Roman"/>
          <w:i/>
          <w:color w:val="000000"/>
          <w:sz w:val="20"/>
        </w:rPr>
        <w:t>Contingencies</w:t>
      </w:r>
      <w:r>
        <w:rPr>
          <w:rFonts w:ascii="Times New Roman" w:hAnsi="Times New Roman"/>
          <w:color w:val="000000"/>
          <w:sz w:val="20"/>
        </w:rPr>
        <w:t xml:space="preserve">, Lineage has not recorded any accrual for a contingent liability associated with this legal proceeding based on its belief that a liability, while possible, is not probable nor estimable, and any range of potential contingent liability amounts cannot be reasonably estimated at this time. Lineage records legal expenses as incurred.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Employment Contracts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has employment agreements with all of its executive officers. Under the provisions of the agreements, Lineage may be required to incur severance obligations for matters relating to changes in control, as defined in the agreements, and involuntary terminations.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Indemnification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normal course of business, Lineage may agree to indemnify and reimburse other parties, typically Lineage’s clinical research organizations, investigators, clinical sites, and suppliers, for losses and expenses suffered or incurred by the indemnified parties arising from claims of third parties in connection with the use or testing of Lineage’s products and services. Indemnification could also cover third party infringement claims with respect to patent rights, copyrights, or other intellectual property pertaining to Lineage products and services. The term of these indemnification agreements generally continue in effect after the termination or expiration of the particular research, development, services, or license agreement to which they relate. In addition, Lineage has entered into indemnification agreements with officers and members of its board of directors that will require Lineage, among other things, to indemnify them against certain liabilities that may arise by reason of their status or service as officers or directors. The potential future payments Lineage could be required to make under the indemnification agreements described in this paragraph will generally not be subject to any specified maximum amount. Generally, Lineage has not been subject to any material claims or demands for indemnification. Lineage maintains liability insurance policies that limit its financial exposure under the indemnification agreements described in this paragraph. Accordingly, Lineage has not recorded any liabilities for these agreements as of June 30, 2025 or December 31, 2024.</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Royalty Obligations and License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licensing agreements with research institutions, universities and other parties providing us with certain rights to use intellectual property in conducting research and development activities in exchange for the payment of royalties on future product sales, if any. In addition, in order to maintain these licenses and other rights, we must comply with various conditions including the payment of patent related costs and annual minimum maintenance fees.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Asterias Merger, Lineage acquired royalty revenues for cash flows generated under patent families that Asterias acquired from Geron Corporation. Lineage continues to make royalty payments to Geron from royalties generated from these patents. Royalty revenues and royalty payments are included within royalties, license and other revenues and cost of royalties, respectively, in our condensed consolidated statements of operations.</w:t>
      </w:r>
    </w:p>
    <w:p>
      <w:pPr>
        <w:pStyle w:val="TextBody"/>
        <w:bidi w:val="0"/>
        <w:spacing w:before="36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2" w:name="item_2_mda"/>
      <w:bookmarkEnd w:id="12"/>
      <w:r>
        <w:rPr>
          <w:rFonts w:ascii="Times New Roman" w:hAnsi="Times New Roman"/>
          <w:b/>
          <w:color w:val="000000"/>
          <w:sz w:val="20"/>
        </w:rPr>
        <w:t>Item 2. Management’s Discussion and Analysis of Financial Condition and Result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discussion and analysis of financial condition and results of operations should be read in conjunction with our accompanying unaudited condensed consolidated interim financial statements and notes thereto and our audited financial statements and notes thereto for the year ended December 31, 2024 included in the 2024 10-K. Past operating results are not necessarily indicative of results that may occur in future periods.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discussion includes forward-looking statements. See “Special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2024 10-K, and in our subsequent filings with the SEC, including any discussed in Part II, Item 1A of this report under the heading “Risk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Company and Business Overview</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a clinical-stage biotechnology company developing novel allogeneic, or "off-the-shelf," cell therapies for serious neurological and ophthalmic conditions. Our programs are based on our proprietary, cell-based technology platform and associated development, formulation, manufacturing and delivery capabilities. From this platform, we design, develop, manufacture, and test specialized human cells with anatomical and physiological functions similar or identical to cells found naturally in the human body. The cells we manufacture are produced by applying directed differentiation processes to established, well-characterized, and self-renewing pluripotent cell lines. These processes are based on specific developmental lineages and generate cells with desired characteristics. Functional cells developed from such lineages that are relevant to the underlying condition are transplanted into patients in an effort to (a) </w:t>
      </w:r>
      <w:r>
        <w:rPr>
          <w:rFonts w:ascii="Times New Roman" w:hAnsi="Times New Roman"/>
          <w:i/>
          <w:color w:val="000000"/>
          <w:sz w:val="20"/>
        </w:rPr>
        <w:t>replace</w:t>
      </w:r>
      <w:r>
        <w:rPr>
          <w:rFonts w:ascii="Times New Roman" w:hAnsi="Times New Roman"/>
          <w:color w:val="000000"/>
          <w:sz w:val="20"/>
        </w:rPr>
        <w:t xml:space="preserve"> or support cells that are absent or dysfunctional due to degenerative disease, aging, or traumatic injury, and (b) </w:t>
      </w:r>
      <w:r>
        <w:rPr>
          <w:rFonts w:ascii="Times New Roman" w:hAnsi="Times New Roman"/>
          <w:i/>
          <w:color w:val="000000"/>
          <w:sz w:val="20"/>
        </w:rPr>
        <w:t>restore</w:t>
      </w:r>
      <w:r>
        <w:rPr>
          <w:rFonts w:ascii="Times New Roman" w:hAnsi="Times New Roman"/>
          <w:color w:val="000000"/>
          <w:sz w:val="20"/>
        </w:rPr>
        <w:t xml:space="preserve"> or enhance the patient's functional activity. Our business strategy is to efficiently leverage our technology platform and our development and manufacturing capabilities to advance our programs internally or in conjunction with strategic partners to further enhance their value and probability of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Scalable, cost-effective manufacturing can help make cell therapies affordable for a wider patient population. We believe a significant challenge facing the cell therapy field, and a necessary component of successful allogeneic cell therapy commercialization, is the ability to create, at scale and in a cost-effective manner, the desired cell product from a single cell line with the purity, potency, and production scale implied by an “off-the-shelf” product. The complex process for such a cost-effective and scaled production can be achieved by employing a current Good Manufacturing Practice, or cGMP, compliant and genetically stable cell banking system, which can provide an abundant and consistent supply of material for downstream production. A vial from a stable cGMP master cell bank created from a single, well-characterized pluripotent cell line can be the source of a cGMP working cell bank, which thereafter generates hundreds or thousands of vials of a final cell-based product comprised of millions of cells per vial. Utilizing a two-tier banking system can enable significant amplification of starting material, thereby being capable of providing a reliable, consistent, and permanent supply to the subsequent production campaigns that generate the final product, producing even millions of vials from the original initial bank.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previously completed a cGMP production run for each of OpRegen and OPC1, two of our product candidates, from such a customized, two-tiered cGMP cell banking system. In total, we have to date produced unique cGMP banking systems for three of our product candidates, the third being ANP1. We therefore believe we have reduced to practice and demonstrated a reproducible and scalable cGMP cell therapy production capability with the purity, potency, and production scale implied by an “off the shelf” allogeneic product. We plan to leverage this expertise to produce a cost-effective, scalable, and consistent supply of allogeneic cell transplant product candidates for ourselves and others, including for indications requiring large cell doses or large patient populations. We expect the cell banks we have manufactured will support a production capability exceeding the reasonably foreseeable number of patients with the conditions that OpRegen and OPC1 are currently intended to address (each of which we currently expect to be a single-administration dose) without requiring the manufacture of a new starting master cell bank.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lead cell therapy program, known as OpRegen®, is being developed for the treatment of ocular disorders, including geographic atrophy (“GA”) secondary to age-related macular degeneration (“AMD”) under a collaboration we entered into with F. Hoffmann-La Roche Ltd and Genentech, Inc., a member of the Roche Group (collectively or individually, “Roche” or “Genentech”). OpRegen (also known as RG6501) is a suspension of human allogeneic retinal pigmented epithelial (“RPE”) cells and is currently being evaluated in a Phase 2a multicenter clinical trial in patients with GA secondary to AMD which is referred to as the “GAlette Study”. OpRegen subretinal delivery has the potential to counteract RPE cell loss in areas of GA lesions by supporting retinal cell health and improving retinal structure and function. Under the terms of the Collaboration and License Agreement we entered into with Roche in December 2021 (the “Roche Agreement”), we received a $50.0 million upfront payment in January 2022 and are eligible to receive up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an additional $620.0 million in developmental, regulatory, and commercialization milestone payments. We also are eligible to receive tiered double-digit percentage royalties on net sales of OpRegen in the U.S. and other major markets. In May 2024, we entered into an additional agreement with Genentech (“Services Agreement”) pursuant to which we agreed to provide Genentech with supplemental clinical, technical, training, manufacturing, and procurement services that support the ongoing advancement of the OpRegen program in exchange for certain payments. In September 2024, Roche and Genentech announced receipt of Regenerative Medicine Advanced Therapy (“RMAT”) designation from the U.S. Food and Drug Administration (“FDA”) for OpRegen for the treatment of GA secondary to dry AMD. In June 2025, Roche and Genentech presented positive 36-month visual acuity results at Clinical Trials at The Summit 2025, from the Lineage-run Phase 1/2a clinical trial of OpRegen. The presentation showed that (i) gains in Best Corrected Visual Acuity (BCVA) in patients in Cohort 4 (less advanced GA) measured at month 12 remain evident through month 36 following subretinal administration of OpRegen cell therapy; (ii) improvement in BCVA and outer retinal structure in patients with extensive OpRegen bleb coverage of their GA area was greater than in patients with limited coverage and persisted through month 36; (iii) in those patients with extensive OpRegen cell therapy coverage of atrophic areas at the time of surgical delivery, the mean change in BCVA was +9.0 ETDRS letters for those completing 3-year follow-up (compared to +7.4 ETDRS letters at 24 months) (n=5); and, (iv) these data suggest that OpRegen cell therapy may counteract RPE cell dysfunction and loss in GA by providing support to the remaining retinal cells within atrophic areas, and these effects appear durable through at least 36 months after a single administration.</w:t>
      </w:r>
    </w:p>
    <w:p>
      <w:pPr>
        <w:pStyle w:val="TextBody"/>
        <w:bidi w:val="0"/>
        <w:spacing w:before="240" w:after="283"/>
        <w:jc w:val="both"/>
        <w:rPr>
          <w:rFonts w:ascii="Times New Roman" w:hAnsi="Times New Roman"/>
          <w:sz w:val="20"/>
        </w:rPr>
      </w:pPr>
      <w:r>
        <w:rPr>
          <w:rFonts w:ascii="Times New Roman" w:hAnsi="Times New Roman"/>
          <w:color w:val="000000"/>
          <w:sz w:val="20"/>
        </w:rPr>
        <w:t>Our most advanced internally owned product candidate is OPC1, an allogeneic oligodendrocyte progenitor cell therapy designed to improve recovery following a spinal cord injury (“SCI”). Improved functional activity can lead to greater mobility and enhanced quality of life for patients and significant cost-savings for caregivers and payors. OPC1 also has an extensive long-term safety profile based on two clinical trials conducted to date: a five-patient Phase 1 safety trial in acute thoracic SCI, where all active subjects have been followed for at least 13 years, and a 25-patient Phase 1/2a multicenter dose-escalation trial in subacute cervical SCI, where all active subjects were evaluated for at least 7 years. Results from these studies have been published in the Journal of Neurosurgery Spine. In February 2025, we announced that we were initiating our DOSED (Delivery of Oligodendrocyte Progenitor Cells for Spinal Cord Injury: Evaluation of a Novel Device) clinical study to evaluate the safety and utility of a novel spinal cord delivery device designed to administer OPC1 to the spinal parenchyma in subacute and chronic SCI patients. The study will enroll both subacute (between 21 to 42 days following injury) and chronic (between 1 to 5 years following injury) SCI patients. The DOSED study will be the first study of OPC1 to include patients with a chronic injury, a condition which comprises the majority of SCI patients. We expect DOSED will enable future subsequent studies aimed to demonstrate OPC1’s ability to impact functional outcomes</w:t>
      </w:r>
      <w:r>
        <w:rPr>
          <w:rFonts w:ascii="Aptos;sans-serif" w:hAnsi="Aptos;sans-serif"/>
          <w:color w:val="000000"/>
          <w:sz w:val="20"/>
        </w:rPr>
        <w:t>.</w:t>
      </w:r>
      <w:r>
        <w:rPr>
          <w:rFonts w:ascii="Times New Roman" w:hAnsi="Times New Roman"/>
          <w:color w:val="000000"/>
          <w:sz w:val="20"/>
        </w:rPr>
        <w:t xml:space="preserve"> In July 2025 the first chronic SCI patient (a neurologically complete SCI injury (American Spinal Injury Association Impairment Scale [AIS] grade A), with a single neurological level of injury (NLI) from levels T1 to T10) was treated in the DOSED study at UC San Diego Health, and the novel delivery system successfully administered a one-time injection of OPC1. OPC1 clinical development has been supported in part by a $14.3 million grant from the California Institute for Regenerative Medicine (“CIRM”) and we have applied for additional funding from CIRM to support continued clinical development of OPC1 for the treatment of SCI. See “Item 1. Business - Grants from Government Entities,” – Grants from the California Institute for Regenerative Medicine,” in the 2024 10K.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pipeline of allogeneic, or “off-the-shelf”, neurology and ophthalmic cell therapy programs currently available to us for development includes: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OpRegen (RG6501)</w:t>
      </w:r>
      <w:r>
        <w:rPr>
          <w:rFonts w:ascii="Times New Roman" w:hAnsi="Times New Roman"/>
          <w:color w:val="000000"/>
          <w:sz w:val="20"/>
        </w:rPr>
        <w:t xml:space="preserve">, an allogeneic RPE cell replacement therapy currently in a Phase 2a multicenter, open-label, single arm clinical trial, the GAlette Study, being conducted by Genentech, for the treatment of GA secondary to AMD.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OPC1</w:t>
      </w:r>
      <w:r>
        <w:rPr>
          <w:rFonts w:ascii="Times New Roman" w:hAnsi="Times New Roman"/>
          <w:color w:val="000000"/>
          <w:sz w:val="20"/>
        </w:rPr>
        <w:t xml:space="preserve">, an allogeneic oligodendrocyte progenitor cell therapy currently in a Phase 1b, multicenter, open label safety trial, the DOSED study, which is designed to test the safety and utility of a novel spinal cord delivery device in subacute and chronic SCI patients.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ReSonance</w:t>
      </w:r>
      <w:r>
        <w:rPr>
          <w:rFonts w:ascii="Times New Roman" w:hAnsi="Times New Roman"/>
          <w:color w:val="000000"/>
          <w:sz w:val="13"/>
        </w:rPr>
        <w:t>TM</w:t>
      </w:r>
      <w:r>
        <w:rPr>
          <w:color w:val="000000"/>
        </w:rPr>
        <w:t xml:space="preserve"> </w:t>
      </w:r>
      <w:r>
        <w:rPr>
          <w:rFonts w:ascii="Times New Roman" w:hAnsi="Times New Roman"/>
          <w:color w:val="000000"/>
          <w:sz w:val="20"/>
        </w:rPr>
        <w:t xml:space="preserve">(ANP1), an allogeneic auditory neuron progenitor cell transplant currently in preclinical development for the treatment of sensorineural hearing loss.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PNC1</w:t>
      </w:r>
      <w:r>
        <w:rPr>
          <w:rFonts w:ascii="Times New Roman" w:hAnsi="Times New Roman"/>
          <w:color w:val="000000"/>
          <w:sz w:val="20"/>
        </w:rPr>
        <w:t xml:space="preserve">, an allogeneic photoreceptor cell transplant currently in preclinical development for the treatment of vision loss due to photoreceptor dysfunction or damage.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RND1, </w:t>
      </w:r>
      <w:r>
        <w:rPr>
          <w:rFonts w:ascii="Times New Roman" w:hAnsi="Times New Roman"/>
          <w:color w:val="000000"/>
          <w:sz w:val="20"/>
        </w:rPr>
        <w:t>a cell transplant program for an undisclosed indication, currently being developed through a gene editing collaboration with Factor Biosciences Limited.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A proprietary hypoimmune cell line,</w:t>
      </w:r>
      <w:r>
        <w:rPr>
          <w:color w:val="000000"/>
        </w:rPr>
        <w:t xml:space="preserve"> </w:t>
      </w:r>
      <w:r>
        <w:rPr>
          <w:rFonts w:ascii="Times New Roman" w:hAnsi="Times New Roman"/>
          <w:color w:val="000000"/>
          <w:sz w:val="20"/>
        </w:rPr>
        <w:t>which may have utility in additional central nervous system indications.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Programs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we have to date focused on neurological and ophthalmic cell types, the pluripotent cells which our platform is based on are capable of becoming any of the cell types of the human body. We currently maintain a list of additional undisclosed product candidates which may be considered for development or partnership in the future, and which altogether cover a range of therapeutic areas and conditions. Generally, these product candidates are based on the same platform technology and employ a similar guided cell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differentiation and transplant approach as the product candidates discussed above, but in some cases may also include genetic modifications designed to enhance efficacy and/or safety profiles. We may elect not to develop, terminate the development of, or not partner any of these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seeking to create value for shareholders by developing product candidates through clinical development, we also may seek to create value from our intellectual property or related technologies and capabilities, through licensing collaborations and/or other strategic transactions.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Israeli Regional Conflict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manufacturing processes, including cell banking and product manufacturing for our cell therapy product candidates, are conducted by our subsidiary, CCN, at its facility in Jerusalem, Israel, and more than two-thirds of our workforce are CCN employees based in that facility. As of the date of the filing of this report, our operations have not been materially or adversely impacted as a result of the Israeli regional conflict that began in October 2023 nor the broader regional conflict that has developed since.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safety concerns and in response to government-imposed restrictions on movement and travel and other precautions taken from time to time since October 2023, our operations at our facility in Israel were temporarily impacted. Further, a number of our employees in Israel are members of the military reserves and subject to immediate call-up. In addition, the general impact on our employees operating in a region of conflict could adversely impact our operations. Although we have business continuity plans in place to address medium- or long-term disruptions that could result from regional instability, any long-term closure of our facility in Israel, or if that facility were damaged, or if hostilities otherwise disrupt our ongoing operations at that facility, or if a meaningful number of our employees are unable to work for significant portions of time, our operations would be materially and adversely impacted.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currently not possible to predict the scope, duration or severity of the ongoing conflict or its effects on our operations, financial condition or operating results. The conflict continues to rapidly evolve, and could materially adversely impact our business and operations, including our ability to raise capital, as well as the overall economy in Israel and the value of the New Israeli Shekel. See the risk factor in Item 1A. Risk Factors in Part I of the 2024 10-K titled, “All of our manufacturing operations currently are conducted at our facility in Jerusalem, Israel. Accordingly, political and economic conditions in Israel and war, cyberattacks, terrorist attacks or other armed conflicts involving Israel and the broader region could directly affect our business. Any event or condition that significantly disrupts our ordinary course of operations at our Jerusalem facility could harm our business and materially and adversely affect our financial condition and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 insurance may not cover losses that may occur as a result of events associated with war and terrorism. Although the Israeli government currently covers the reinstatement value of direct damages that are caused by terrorist attacks or acts of war, we cannot assure that this government coverage will be maintained or that it will sufficiently cover our potential damages. Any losses or damages incurred by us could have a material adverse effect on our business.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Macroeconomic, Political, and Regulatory Environment Considerations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financial condition, operating results, stock price, and our ability to raise additional capital may be adversely affected by evolving macroeconomic, political, and regulatory developments and conditions, such as inflation, trade disruptions and restrictive measures, including tariffs, high interest rates, slowed economic growth or recession, volatility in financial markets, liquidity concerns at financial institutions, supply chain disruptions, changes in the regulatory landscape in the U.S., including due to significant reductions in funding and staffing of federal agencies and changes in leadership, and geopolitical factors. Further, third parties with whom we have business relationships, including clinical investigative sites, financial institutions, our collaborators, may be adversely affected by the foregoing risks, which could directly impact our ability to achieve our operating goals within planned timelines and budgets.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there may be significant future effects on the pharmaceutical and biopharmaceutical industries as a result of federal policy and regulatory changes under the current U.S. presidential administration, including in areas relating to regulatory framework and oversight, research and development funding, drug pricing reform, global trade policy and tariffs, and others. Recent initiatives have resulted in significant reductions in staffing levels at the FDA and other governmental agencies. The foregoing could impact agencies’ ability to retain remaining key personnel and hire additional personnel, which may disrupt their ability to perform routine activities or function in the normal course. For example, with respect to the FDA, this may result in delays or limitations on our ability to obtain guidance from agency staff and slow review times for applications we submit with respect to clinical studies, any of which could negatively impact the cost and timelines for developing and obtaining regulatory approval of our product candidates. Moreover, the current U.S. presidential administration has taken and may take additional future actions to freeze or reduce federal funding for medical research, which could decrease the ability of facilities that rely on such funding to conduct clinical trials or increase the costs to us of conducting clinical trials at those facilities. Given the high level of uncertainty regarding federal policy, enforcement and regulatory changes, and that circumstances are rapidly evolving, we cannot reasonably predict the potential impact on our business at this time.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accounting policy is deemed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 See the discussion under the Critical Accounting Estimates heading in Part II, Item 7. Management’s Discussion and Analysis of Financial Condition and Result of Operations in the 2024 10-K and our audited financial statements and notes thereto for the year ended December 31, 2024 in Part II, Item 8 of the 2024 10-K for accounting policies and related estimates we believe are the most critical to understanding our condensed consolidated interim financial statements, financial condition and results of operations and which require complex management judgment and assumptions or involve uncertainties. The estimates and judgments involved in our accounting policies as described in our audited financial statements and notes thereto for the year ended December 31, 2024, continue to be our critical accounting policies and there have been no material changes to our critical accounting policies during the six months ended June 30,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Three and Six Months Ended June 30, 2025 and 2024</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our revenues for the periods presented (amounts in thousands except percentages):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22"/>
        <w:gridCol w:w="146"/>
        <w:gridCol w:w="196"/>
        <w:gridCol w:w="511"/>
        <w:gridCol w:w="146"/>
        <w:gridCol w:w="146"/>
        <w:gridCol w:w="196"/>
        <w:gridCol w:w="511"/>
        <w:gridCol w:w="146"/>
        <w:gridCol w:w="146"/>
        <w:gridCol w:w="236"/>
        <w:gridCol w:w="617"/>
        <w:gridCol w:w="166"/>
        <w:gridCol w:w="146"/>
        <w:gridCol w:w="858"/>
        <w:gridCol w:w="146"/>
        <w:gridCol w:w="196"/>
        <w:gridCol w:w="511"/>
        <w:gridCol w:w="146"/>
        <w:gridCol w:w="146"/>
        <w:gridCol w:w="196"/>
        <w:gridCol w:w="511"/>
        <w:gridCol w:w="146"/>
        <w:gridCol w:w="146"/>
        <w:gridCol w:w="236"/>
        <w:gridCol w:w="617"/>
        <w:gridCol w:w="166"/>
        <w:gridCol w:w="146"/>
        <w:gridCol w:w="907"/>
      </w:tblGrid>
      <w:tr>
        <w:trPr/>
        <w:tc>
          <w:tcPr>
            <w:tcW w:w="1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Six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Increase</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Collaboration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66%</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Royalties, license and 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(18)%</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50%</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For each of the three and six months ended June 30, 2025, the $1.4 million increase in total revenue as compared to the prior year was primarily due to collaboration revenues, of which approximately $0.7 million of the increase for each period was due to more revenue recognized under the Roche Agreement resulting from continued progress toward completion of the performance obligations inclusive of updates in the total estimated costs to be incurred under the Roche Agreement. Additionally, the license agreement with Immunomic Therapeutics, Inc. was terminated and the remaining deferred revenue of approximately $0.7 million was recognized in the current quarter within collaboration revenues. See Note 13 (Commitments and Contingencies) for additional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Collaboration revenues from the Roche Agreement may fluctuate from period to period based on changes in estimated costs to support the performance obligations. Under the Roche Agreement, delivery is determined to be over time and revenue is recognized utilizing an input method of costs incurred over total estimated costs to complete the performance obligation. The collaboration revenue recognized each period was included within deferred revenue at the beginning of each reporting period. See Note 3 (Revenue) to our condensed consolidated interim financial statements included in this report for additional information.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expenses generally consist of cost of royalties, research and development expenses, and general and administrative expenses.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Cost of royalties</w:t>
      </w:r>
      <w:r>
        <w:rPr>
          <w:rFonts w:ascii="Times New Roman" w:hAnsi="Times New Roman"/>
          <w:color w:val="000000"/>
          <w:sz w:val="20"/>
        </w:rPr>
        <w:t>. These expenses consist of costs associated with royalty revenue which has resulted from product royalties by our sublicensees.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Research and development expenses</w:t>
      </w:r>
      <w:r>
        <w:rPr>
          <w:rFonts w:ascii="Times New Roman" w:hAnsi="Times New Roman"/>
          <w:color w:val="000000"/>
          <w:sz w:val="20"/>
        </w:rPr>
        <w:t>. These expenses consist of costs incurred for company-sponsored, collaborative and contracted research and development activities. These costs include direct expenses and indirect research-related overhead expenses including compensation and related benefits, stock-based compensation, consulting fees, research and laboratory fees, rent of research facilities, amortization of intangible assets, and license fees paid to third parties to acquire patents or licenses to use patents and other technology. Research and development costs with no future benefit or alternative use are expensed as incurred. Research and development expenses incurred and reimbursed by grants from third parties approximate the grant income recognized in our condensed consolidated statements of operations. Royalties and sublicensing fees are recorded as research and development expenses, unless they are associated with product royalties, which we classify as cost of royalties in our condensed consolidated statements of operations. We expect our total research and development expenses to fluctuate each reporting period based on several factors including (i) the stage of development for each cell therapy program, (ii) the availability of resources to work on each program, and (iii) the timing of contractual obligations.</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General and administrative expenses</w:t>
      </w:r>
      <w:r>
        <w:rPr>
          <w:rFonts w:ascii="Times New Roman" w:hAnsi="Times New Roman"/>
          <w:color w:val="000000"/>
          <w:sz w:val="20"/>
        </w:rPr>
        <w:t>. These expenses consist of employee and director compensation and related benefits, including stock-based compensation, for executive and corporate personnel, professional and consulting fees, and allocated overhead such as facilities rent and equipment rent and maintenance, insurance costs allocated to general and administrative expenses, costs of patent applications, prosecution and maintenance, stock exchange-related costs, depreciation expense, marketing costs, legal and accounting costs, and other miscellaneous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our operating expenses for the periods presented (amounts in thousands, except percentages):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71"/>
        <w:gridCol w:w="146"/>
        <w:gridCol w:w="196"/>
        <w:gridCol w:w="601"/>
        <w:gridCol w:w="146"/>
        <w:gridCol w:w="146"/>
        <w:gridCol w:w="196"/>
        <w:gridCol w:w="511"/>
        <w:gridCol w:w="146"/>
        <w:gridCol w:w="146"/>
        <w:gridCol w:w="196"/>
        <w:gridCol w:w="601"/>
        <w:gridCol w:w="166"/>
        <w:gridCol w:w="146"/>
        <w:gridCol w:w="693"/>
        <w:gridCol w:w="146"/>
        <w:gridCol w:w="196"/>
        <w:gridCol w:w="601"/>
        <w:gridCol w:w="146"/>
        <w:gridCol w:w="146"/>
        <w:gridCol w:w="196"/>
        <w:gridCol w:w="601"/>
        <w:gridCol w:w="146"/>
        <w:gridCol w:w="146"/>
        <w:gridCol w:w="218"/>
        <w:gridCol w:w="669"/>
        <w:gridCol w:w="166"/>
        <w:gridCol w:w="146"/>
        <w:gridCol w:w="875"/>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w:t>
              <w:b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w:t>
              <w:br/>
              <w:t>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Six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Increase</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(47)%</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impairment of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100%</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the amount of our total research and development expenses allocated to our primary research and development projects for the periods presented (amounts in thousands, except percentages):</w:t>
      </w:r>
    </w:p>
    <w:p>
      <w:pPr>
        <w:pStyle w:val="TextBody"/>
        <w:bidi w:val="0"/>
        <w:jc w:val="both"/>
        <w:rPr/>
      </w:pPr>
      <w:r>
        <w:rPr/>
        <w:t> </w:t>
      </w:r>
    </w:p>
    <w:tbl>
      <w:tblPr>
        <w:tblW w:w="9940" w:type="dxa"/>
        <w:jc w:val="left"/>
        <w:tblInd w:w="0" w:type="dxa"/>
        <w:tblLayout w:type="fixed"/>
        <w:tblCellMar>
          <w:top w:w="28" w:type="dxa"/>
          <w:left w:w="28" w:type="dxa"/>
          <w:bottom w:w="28" w:type="dxa"/>
          <w:right w:w="28" w:type="dxa"/>
        </w:tblCellMar>
      </w:tblPr>
      <w:tblGrid>
        <w:gridCol w:w="3211"/>
        <w:gridCol w:w="146"/>
        <w:gridCol w:w="196"/>
        <w:gridCol w:w="511"/>
        <w:gridCol w:w="146"/>
        <w:gridCol w:w="146"/>
        <w:gridCol w:w="196"/>
        <w:gridCol w:w="511"/>
        <w:gridCol w:w="146"/>
        <w:gridCol w:w="146"/>
        <w:gridCol w:w="526"/>
        <w:gridCol w:w="146"/>
        <w:gridCol w:w="526"/>
        <w:gridCol w:w="146"/>
        <w:gridCol w:w="196"/>
        <w:gridCol w:w="511"/>
        <w:gridCol w:w="146"/>
        <w:gridCol w:w="146"/>
        <w:gridCol w:w="196"/>
        <w:gridCol w:w="511"/>
        <w:gridCol w:w="146"/>
        <w:gridCol w:w="146"/>
        <w:gridCol w:w="526"/>
        <w:gridCol w:w="146"/>
        <w:gridCol w:w="57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4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of 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of Total</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OpRegen</w:t>
            </w: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48%</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OPC1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ANP1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PNC1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RND1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programs and non-program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2%</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20"/>
          <w:u w:val="single"/>
        </w:rPr>
        <w:t>Research and development expenses.</w:t>
      </w:r>
      <w:r>
        <w:rPr>
          <w:rFonts w:ascii="Times New Roman" w:hAnsi="Times New Roman"/>
          <w:color w:val="000000"/>
          <w:sz w:val="20"/>
        </w:rPr>
        <w:t xml:space="preserve"> For the three and six months ended June 30, 2025, the $0.2 million and $0.3 million increase in total research and development expenses, respectively, as compared to the prior year was primarily driven by our preclinical programs.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General and administrative expenses.</w:t>
      </w:r>
      <w:r>
        <w:rPr>
          <w:rFonts w:ascii="Times New Roman" w:hAnsi="Times New Roman"/>
          <w:color w:val="000000"/>
          <w:sz w:val="20"/>
        </w:rPr>
        <w:t xml:space="preserve"> For the three and six months ended June 30, 2025, the $0.2 million and $0.1 million increase in general and administrative expenses, respectively, as compared to the prior year was primarily attributable to more costs incurred for services provided by third parties.</w:t>
      </w:r>
    </w:p>
    <w:p>
      <w:pPr>
        <w:pStyle w:val="TextBody"/>
        <w:bidi w:val="0"/>
        <w:spacing w:before="240" w:after="160"/>
        <w:jc w:val="both"/>
        <w:rPr>
          <w:rFonts w:ascii="Times New Roman" w:hAnsi="Times New Roman"/>
          <w:sz w:val="20"/>
        </w:rPr>
      </w:pPr>
      <w:r>
        <w:rPr>
          <w:rFonts w:ascii="Times New Roman" w:hAnsi="Times New Roman"/>
          <w:color w:val="000000"/>
          <w:sz w:val="20"/>
          <w:u w:val="single"/>
        </w:rPr>
        <w:t>Loss on impairment of intangible asset</w:t>
      </w:r>
      <w:r>
        <w:rPr>
          <w:rFonts w:ascii="Times New Roman" w:hAnsi="Times New Roman"/>
          <w:color w:val="000000"/>
          <w:sz w:val="20"/>
        </w:rPr>
        <w:t>. As of June 30, 2025, the VAC platform was deemed to be abandoned. As we have abandoned the VAC platform and its related research and development efforts, and the IPR&amp;D asset has no alternative future use, we have derecognized the intangible asset and recorded a non-cash pre-tax impairment charge of $14.8 million within total operating expenses of the condensed consolidated statement of operations during the three months ended June 30, 2025. See Note 6 (Goodwill and Intangible Assets, net) and Note 13 (Commitments and Contingencies) to our condensed consolidated interim financial statements included in this report for additional information.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Income and Expenses,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the amount of other income (expenses), net, for the periods presented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99"/>
        <w:gridCol w:w="146"/>
        <w:gridCol w:w="196"/>
        <w:gridCol w:w="661"/>
        <w:gridCol w:w="166"/>
        <w:gridCol w:w="146"/>
        <w:gridCol w:w="196"/>
        <w:gridCol w:w="436"/>
        <w:gridCol w:w="166"/>
        <w:gridCol w:w="146"/>
        <w:gridCol w:w="205"/>
        <w:gridCol w:w="693"/>
        <w:gridCol w:w="166"/>
        <w:gridCol w:w="146"/>
        <w:gridCol w:w="771"/>
        <w:gridCol w:w="146"/>
        <w:gridCol w:w="196"/>
        <w:gridCol w:w="661"/>
        <w:gridCol w:w="166"/>
        <w:gridCol w:w="146"/>
        <w:gridCol w:w="196"/>
        <w:gridCol w:w="436"/>
        <w:gridCol w:w="166"/>
        <w:gridCol w:w="146"/>
        <w:gridCol w:w="205"/>
        <w:gridCol w:w="693"/>
        <w:gridCol w:w="166"/>
        <w:gridCol w:w="146"/>
        <w:gridCol w:w="897"/>
      </w:tblGrid>
      <w:tr>
        <w:trPr/>
        <w:tc>
          <w:tcPr>
            <w:tcW w:w="1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Six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Increase</w:t>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4"/>
              </w:rPr>
            </w:pPr>
            <w:r>
              <w:rPr>
                <w:rFonts w:ascii="Times New Roman" w:hAnsi="Times New Roman"/>
                <w:b/>
                <w:color w:val="000000"/>
                <w:sz w:val="14"/>
              </w:rPr>
              <w:t>(Decrease)</w:t>
            </w:r>
          </w:p>
        </w:tc>
      </w:tr>
      <w:tr>
        <w:trPr/>
        <w:tc>
          <w:tcPr>
            <w:tcW w:w="15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1%</w:t>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 xml:space="preserve">Loss on marketable equity </w:t>
              <w:br/>
              <w:t>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53%</w:t>
            </w:r>
          </w:p>
        </w:tc>
      </w:tr>
      <w:tr>
        <w:trPr/>
        <w:tc>
          <w:tcPr>
            <w:tcW w:w="15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(100)%</w:t>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currency transaction gain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298%</w:t>
            </w:r>
          </w:p>
        </w:tc>
      </w:tr>
      <w:tr>
        <w:trPr/>
        <w:tc>
          <w:tcPr>
            <w:tcW w:w="15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(937)%</w:t>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4274%</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20"/>
          <w:u w:val="single"/>
        </w:rPr>
        <w:t>Interest income, net</w:t>
      </w:r>
      <w:r>
        <w:rPr>
          <w:rFonts w:ascii="Times New Roman" w:hAnsi="Times New Roman"/>
          <w:color w:val="000000"/>
          <w:sz w:val="20"/>
        </w:rPr>
        <w:t xml:space="preserve">. For the three and six months ended June 30, 2025, the change in interest income, net, as compared to the prior year was de minimis.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Loss on marketable equity securities, net</w:t>
      </w:r>
      <w:r>
        <w:rPr>
          <w:rFonts w:ascii="Times New Roman" w:hAnsi="Times New Roman"/>
          <w:color w:val="000000"/>
          <w:sz w:val="20"/>
        </w:rPr>
        <w:t xml:space="preserve">. We expect our net gain or loss on marketable equitable securities to fluctuate each reporting period based on the changes in the market price of marketable equitable securities held by us which could impact our net income or loss reported in our condensed consolidated statements of operations for a particular reporting period. These marketable equitable securities are carried at fair market value on our condensed consolidated balance sheet. See Note 4 (Marketable Securities) to our condensed consolidated interim financial statements included in this report for additional information regarding our marketable equity securities. For the three and six months ended June 30, 2025 and 2024, Lineage recognized a net loss on marketable equity securities primarily related to changes in the fair market value of such securities during the respective periods.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Change in fair value of warrant liability</w:t>
      </w:r>
      <w:r>
        <w:rPr>
          <w:rFonts w:ascii="Times New Roman" w:hAnsi="Times New Roman"/>
          <w:color w:val="000000"/>
          <w:sz w:val="20"/>
        </w:rPr>
        <w:t>. The liability-classified warrants issued in connection with the November 2024 registered direct offering (“November 2024 RDO”) are valued at each reporting period end date while the warrants are outstanding using a Black-Scholes option pricing model that maximizes the use of observable inputs and minimizes the use of unobservable inputs to the extent possible. A significant increase or decrease in these inputs could result in significantly higher or lower fair value measurements. The changes in fair value of the liability-classified warrants are non-cash adjustments recorded in the condensed consolidated statements of operations and we expect this fair value to fluctuate each reporting period. For the three and six months ended June 30, 2025, the change in the fair value of the warrants was primarily driven by an increase in the Company’s common share price during these periods. There were no liability-classified warrants outstanding for the three and six months ended June 30, 2024.</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Foreign currency transaction gain (loss), net</w:t>
      </w:r>
      <w:r>
        <w:rPr>
          <w:rFonts w:ascii="Times New Roman" w:hAnsi="Times New Roman"/>
          <w:color w:val="000000"/>
          <w:sz w:val="20"/>
        </w:rPr>
        <w:t>. Foreign currency transaction gain (loss), net primarily results from currency fluctuations applied to our subsidiary’s U.S. dollar-denominated intercompany balances with Lineage. The functional currency of our subsidiaries, CCN and ES Cell International Pte. Ltd. (“ESI”), is the Israeli New Shekel (“ILS”) and the Singapore Dollar (“SGD”), respectively. The foreign currency transaction gains recorded during the three and six months ended June 30, 2025 was driven by a strengthening of the ILS and SGD during the period as compared to the U.S. Dollar, while the losses incurred during the three and six months ended June 30, 2024 resulted from a weakening of the ILS and SGD as compared to the U.S. Dollar.</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Other income (expenses), net</w:t>
      </w:r>
      <w:r>
        <w:rPr>
          <w:rFonts w:ascii="Times New Roman" w:hAnsi="Times New Roman"/>
          <w:color w:val="000000"/>
          <w:sz w:val="20"/>
        </w:rPr>
        <w:t xml:space="preserve">. For the six months ended June 30, 2025, the Company recorded $0.2 million related to the allocated transaction costs for warrants issued in connection with the second closing of the November 2024 RDO. No comparable expense was recorded in the six months ended June 30, 2024.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Under ASC 740, </w:t>
      </w:r>
      <w:r>
        <w:rPr>
          <w:rFonts w:ascii="Times New Roman" w:hAnsi="Times New Roman"/>
          <w:i/>
          <w:color w:val="000000"/>
          <w:sz w:val="20"/>
        </w:rPr>
        <w:t>Income Taxes</w:t>
      </w:r>
      <w:r>
        <w:rPr>
          <w:rFonts w:ascii="Times New Roman" w:hAnsi="Times New Roman"/>
          <w:color w:val="000000"/>
          <w:sz w:val="20"/>
        </w:rPr>
        <w:t>, a valuation allowance is provided when it is more likely than not that some portion of the deferred tax assets will not be realized. We established a full valuation allowance as of December 31, 2018 due to the uncertainty of realizing future tax benefits from the net operating loss carryforwards and other deferred tax assets, including foreign net operating losses generated by our subsidiaries.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2025, our accumulated deficit was $438.1 million. For the six months ended June 30, 2025, we incurred a loss from operations of $26.3 million and had negative cash flow from operations of $10.4 million. Since inception, we have incurred significant operating losses and we expect to continue to incur significant operating losses for the foreseeable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2025, we had $42.3 million in cash, cash equivalents and marketable securities. In January 2025, we raised approximately $5.4 million in net proceeds from the second closing of the November 2024 RDO. We may receive up to an additional $36 million in gross proceeds upon the full cash exercise of OpRegen clinical milestone-linked warrants we issued to the investors in the November 2024 RDO, which each have an exercise price of $0.91 per share. However, no assurances can be given that any portion of such warrants will be exercised, or if exercised, that they will be exercised on a cash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historically funded our operations primarily through proceeds from the sale of our common shares and securities exercisable for or convertible into our common shares, the sale of common stock of our former subsidiaries, research grants, revenues from collaborations, and royalties from product sales that are unrelated to our current cell therapy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2025, no shares were issued or sold under our at-the-market offering program. As of June 30, 2025, $39.97 million remained available for sale under our at-the-market offering program. See Note 10 (Shareholders’ Equity) to our condensed consolidated interim financial statements included in this report for additional information regarding our at-the-market offering program.</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jc w:val="both"/>
        <w:rPr/>
      </w:pPr>
      <w:r>
        <w:rPr/>
        <w:t> </w:t>
      </w:r>
    </w:p>
    <w:tbl>
      <w:tblPr>
        <w:tblW w:w="7919" w:type="dxa"/>
        <w:jc w:val="left"/>
        <w:tblInd w:w="0" w:type="dxa"/>
        <w:tblLayout w:type="fixed"/>
        <w:tblCellMar>
          <w:top w:w="28" w:type="dxa"/>
          <w:left w:w="28" w:type="dxa"/>
          <w:bottom w:w="28" w:type="dxa"/>
          <w:right w:w="28" w:type="dxa"/>
        </w:tblCellMar>
      </w:tblPr>
      <w:tblGrid>
        <w:gridCol w:w="5056"/>
        <w:gridCol w:w="146"/>
        <w:gridCol w:w="211"/>
        <w:gridCol w:w="736"/>
        <w:gridCol w:w="166"/>
        <w:gridCol w:w="146"/>
        <w:gridCol w:w="211"/>
        <w:gridCol w:w="736"/>
        <w:gridCol w:w="51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Effect of exchange rate changes on cash, cash equivalents </w:t>
              <w:br/>
              <w:t>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(5,822</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Cash Used In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2025 was $10.4 million and consisted of a net loss of $34.5 million plus the net changes in operating assets and liabilities of approximately $2.6 million, partially offset by $26.7 million in non-cash adjustments. The net changes in operating assets and liabilities were primarily due to a $3.8 million reduction in deferred revenues, partially offset by a $1.3 million increase in prepaid expenses and other current assets. The non-cash adjustments were primarily due to a $10.4 million change in the fair value of the warrant liability as well as a $14.8 million loss on impairment of our IPR&amp;D intangible asset related to the VAC platform.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used in operating activities was $11.0 million for the six months ended June 30, 2024, which primarily reflects the loss from operations of $12.5 million plus the changes in operating assets and liabilities of $2.0 million. These items were partially offset by the non-cash expenses of $2.4 million for stock-based compensation and $0.3 million for depreciation and amortization.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Provided by (Used In)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investing activities for the six months ended June 30, 2025 was $1.9 million and primarily consisted of maturities of U.S. Treasury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used in investing activities for the six months ended June 30, 2024 was $8.8 million which was primarily from the purchase of U.S. Treasury securities.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Provided by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for the six months ended June 30, 2025 was $4.7 million and primarily consisted of net proceeds from the sale of our common shares and warrants in the November 2024 RDO, partially offset by principal payments against our financed insurance liability.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provided by financing activities for the six months ended June 30, 2024 was $14.1 million and primarily consisted of net proceeds from the sale of our common shares in the February 2024 RDO and from the sale of our common shares under our at-the-market offering program.</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Financial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obligations primarily consist of obligations to our licensors under license agreements, obligations related to grants received from government entities, including the Israel Innovation Authority (“IIA”), obligations under vendor contracts for research services and other purchase commitments with suppliers.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received grants under the Innovation Law and are required to pay royalties to the IIA from the revenues generated from the sale of product candidates and related services developed, in whole or in part pursuant to, or as a result of, a research and development program funded by the IIA. Under the Innovation Law, we are also required to pay redemption fees to the IIA. To date, through a series of separate grants beginning in 2007, CCN has received a total of $15.4 million from the IIA to support the OpRegen program. We are obligated to pay approximately 24.1% of any future payments we may receive under the Roche Agreement to the IIA, up to an aggregate cap on all payments to IIA, such cap growing over time via interest accrual until paid in full. As of June 30, 2025, the aggregate cap amount was approximately $96.4 million. Redemption fees due to the IIA under the Innovation Law are due upon receipt of any milestone payments and royalties received under the Roche Agreement. As of June 30, 2025, we have not included any future financial obligations due to the IIA under the Innovation Law in the accompanying unaudited condensed consolidated balance sheet because the achievement and timing of the events that would require future payments to the IIA under the Innovation Law is not fixed and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determinable. See Note 13 (Commitments and Contingencies) to our condensed consolidated interim financial statements included in this report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obligations to licensors under license agreements and to other government entities under the terms of grants we have received require us to make future payments relating to sublicense fees, milestone payments, redemption fees, royalties and patent maintenance costs. Sublicense fees are payable to licensors or government entities when we sublicense underlying intellectual property to third parties; the fees are based on a percentage of the license-related revenue we receive from sublicensees. Milestone payments are due to licensors or government entities upon future achievement of certain commercial, development and regulatory milestones. Royalties are payable to licensors or government entities based on a percentage of net sales of licensed products, including those related to the Roche Agreement. Patent maintenance costs are payable to licensors as reimbursement for the cost of maintaining licensed patents. Due to the contingent nature of the payments, the amounts and timing of payments to licensors under our in-license agreements and to government entities under the terms of grants we have received are uncertain and may fluctuate significantly from period to period. As of June 30, 2025, we have not included these commitments on our condensed consolidated balance sheet because the achievement and timing of these events are not fixed and determinable.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2025, under the terms of the leases for the facilities from which CCN and Lineage operate, a total of $2.0 million of rent payments will become due, of which $0.6 million will become due in the remainder of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amounts and timing of payments under these agreements are uncertain and contingent upon the initiation and completion of the services to be provided.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Future Funding Requirements and Potential 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continue to incur losses for at least the next several years. We expect that our operating expenses will continue to increase for the foreseeable future as we continue the development of, and seek regulatory approval for, our product candidates. As a result, we will need significant additional capital to fund our operations. Our determination as to when we will seek additional capital and the amount of additional capital that we will need will be based on our evaluation of the progress we make in our research and development programs, changes to the scope and focus of those programs, changes in grant funding for certain of those programs, and projection of future costs, revenues, and rates of expenditure. If we are unable to raise additional capital when and as needed, we may be required to delay, postpone, or cancel our clinical trials or limit the number of clinical trial sites.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seek to obtain the additional capital we may need through one or more equity offerings, debt financings, government or other grant funding, or other third-party funding transactions, including potential strategic alliances and licensing or collaboration agreements, or structured financings such as royalty monetization transactions. We cannot provide any assurance that adequate additional capital will be available on favorable terms, if at all. The issuance of additional securities, whether equity or debt, or the possibility of such issuance, may cause the market price of our common shares to decline, and the issuance of additional equity securities could result in the dilution of the interests of our current shareholders. If we obtain additional capital through strategic alliances and licensing or collaboration agreements or structured financing, we may be required to relinquish rights to our intellectual property, our product candidates or rights to future revenue streams or otherwise agree to terms unfavorable to us. The unavailability or inadequacy of additional capital to meet future capital needs could force us to modify, curtail, delay, or suspend some or all aspects of our current planned operations. Our ability to raise additional capital may be adversely impacted due to external factors beyond our control, such as unfavorable global economic conditions, disruptions to and volatility in the credit and financial markets in the United States and worldwide, political and economic uncertainty, geopolitical conflicts, rising inflation and interest rates, and other macroeconomic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our $42.3 million in cash, cash equivalents and marketable securities at June 30, 2025, will be sufficient to fund our planned operations through at least twelve months from the issuance date of our condensed consolidated interim financial statements included elsewhere in this report. We believe we will meet our longer-term expected future cash requirements and obligations with our current cash and cash equivalents, milestone and other payments we expect to receive under our collaboration agreements, and proceeds we receive from sales of our common shares under our at-the-market offering program.</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3" w:name="item_3"/>
      <w:bookmarkEnd w:id="13"/>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SEC rules and regulations, as a smaller reporting company, we are not required to provide the information required by this item.</w:t>
      </w:r>
    </w:p>
    <w:p>
      <w:pPr>
        <w:pStyle w:val="TextBody"/>
        <w:bidi w:val="0"/>
        <w:spacing w:before="360" w:after="283"/>
        <w:jc w:val="left"/>
        <w:rPr>
          <w:rFonts w:ascii="Times New Roman" w:hAnsi="Times New Roman"/>
          <w:b/>
          <w:color w:val="000000"/>
          <w:sz w:val="20"/>
        </w:rPr>
      </w:pPr>
      <w:bookmarkStart w:id="14" w:name="item_4"/>
      <w:bookmarkEnd w:id="14"/>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240" w:after="283"/>
        <w:jc w:val="both"/>
        <w:rPr>
          <w:rFonts w:ascii="Times New Roman" w:hAnsi="Times New Roman"/>
          <w:sz w:val="20"/>
        </w:rPr>
      </w:pPr>
      <w:r>
        <w:rPr>
          <w:rFonts w:ascii="Times New Roman" w:hAnsi="Times New Roman"/>
          <w:color w:val="000000"/>
          <w:sz w:val="20"/>
        </w:rPr>
        <w:t>It is management’s responsibility to establish and maintain adequate internal control over all financial reporting pursuant to Rule 13a-15 under the Exchange Act. Our management, including our principal executive officer and our principal financial officer, reviewed and evaluated the effectiveness of our disclosure controls and procedures as of the end of the period covered by this report. Following this review and evaluation</w:t>
      </w:r>
      <w:r>
        <w:rPr>
          <w:rFonts w:ascii="Times New Roman" w:hAnsi="Times New Roman"/>
          <w:i/>
          <w:color w:val="000000"/>
          <w:sz w:val="20"/>
        </w:rPr>
        <w:t>,</w:t>
      </w:r>
      <w:r>
        <w:rPr>
          <w:rFonts w:ascii="Times New Roman" w:hAnsi="Times New Roman"/>
          <w:color w:val="000000"/>
          <w:sz w:val="20"/>
        </w:rPr>
        <w:t xml:space="preserve"> management collectively determined that our disclosure controls and procedures were effective as of the end of the period covered by this report to ensure that information required to be disclosed by us in reports that we file or submit under the Exchange Act: (i) is recorded, processed, summarized and reported within the time periods specified in SEC rules and forms; and (ii) is accumulated and communicated to management, including our principal executive officer and our principal financial officer, as appropriate to allow timely decisions regarding required disclosure.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period covered by this report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5" w:name="part_ii"/>
      <w:bookmarkEnd w:id="15"/>
      <w:r>
        <w:rPr>
          <w:rFonts w:ascii="Times New Roman" w:hAnsi="Times New Roman"/>
          <w:b/>
          <w:color w:val="000000"/>
          <w:sz w:val="20"/>
        </w:rPr>
        <w:t>PART II - OTHER INFORMATION</w:t>
      </w:r>
    </w:p>
    <w:p>
      <w:pPr>
        <w:pStyle w:val="TextBody"/>
        <w:bidi w:val="0"/>
        <w:spacing w:before="240" w:after="283"/>
        <w:jc w:val="both"/>
        <w:rPr>
          <w:rFonts w:ascii="Times New Roman" w:hAnsi="Times New Roman"/>
          <w:b/>
          <w:color w:val="000000"/>
          <w:sz w:val="20"/>
        </w:rPr>
      </w:pPr>
      <w:bookmarkStart w:id="16" w:name="part_ii_item_1"/>
      <w:bookmarkEnd w:id="16"/>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currently a party to any material legal proceedings. From time-to-time we may be involved in a variety of legal proceedings. Such proceedings may initially be viewed as immaterial but could later prove to be material. Legal proceedings are inherently unpredictable and excessive verdicts do occur. Given the inherent uncertainties in litigation, even when we can reasonably estimate the amount of possible loss or range of loss and reasonably estimable loss contingencies, the actual outcome may change in the future due to new developments or changes in approach. In addition, legal proceedings could involve significant expense and diversion of management’s attention and resources from other matters. For a discussion of legal proceedings in which we are involved, see Note 13 (Commitments and Contingencies) in the Notes to the Condensed Consolidated Interim Financial Statements in Part I, Item 1 of this report.</w:t>
      </w:r>
    </w:p>
    <w:p>
      <w:pPr>
        <w:pStyle w:val="TextBody"/>
        <w:bidi w:val="0"/>
        <w:spacing w:before="360" w:after="283"/>
        <w:jc w:val="both"/>
        <w:rPr>
          <w:rFonts w:ascii="Times New Roman" w:hAnsi="Times New Roman"/>
          <w:b/>
          <w:color w:val="000000"/>
          <w:sz w:val="20"/>
        </w:rPr>
      </w:pPr>
      <w:bookmarkStart w:id="17" w:name="part_ii_item_1a"/>
      <w:bookmarkEnd w:id="17"/>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investment in our common shares involves a high degree of risk. You should carefully consider the risks and uncertainties described in the 2024 10-K, in addition to other information in this report, when evaluating our business and before deciding whether to purchase, hold or sell our common shares. Each of these risks and uncertainties, as well as additional risks and uncertainties not presently known to us or that we currently consider immaterial, could harm our business, financial condition, results of operations and/or growth prospects, as well as adversely affect the market price of our common shares, in which case you may lose all or part of your investment. Except as described below, there have been no material changes from the risk factors disclosed in Part I, Item 1A. Risk Factors in the 2024 10-K.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No assurances can be given that we will be able to continue to consistently manufacture clinical quantities of our product candidates in accordance with cGMP from a master and working cell bank system, or at a cost-effective or commercially viable scale, for one or more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previously completed a cGMP production run of two of our clinical-stage product candidates from a customized two-tiered cGMP cell banking system. However, at this time, no assurances can be given that we will be able to consistently continue to produce production lots in the future in compliance with cGMP or do so at a cost-effective or commercially viable scale. See also the risk factor titled, “The manufacture of our cell therapy product candidates is complex, highly regulated and subject to a multitude of risks. We have limited experience manufacturing our product candidates on a clinical scale and no experience manufacturing on a commercial scale. Any failure to manufacture our product candidates in sufficient quantities in accordance with applicable quality standards and regulatory requirements and at acceptable costs, may result in significant clinical development delays or impair our ability, or that of a strategic collaborator, to obtain approval for or commercialize our product candidates,” set forth in “Item 1A. Risk Factors” of our 2024 10-K. </w:t>
      </w:r>
    </w:p>
    <w:p>
      <w:pPr>
        <w:pStyle w:val="TextBody"/>
        <w:bidi w:val="0"/>
        <w:spacing w:before="360" w:after="283"/>
        <w:jc w:val="both"/>
        <w:rPr>
          <w:rFonts w:ascii="Times New Roman" w:hAnsi="Times New Roman"/>
          <w:b/>
          <w:color w:val="000000"/>
          <w:sz w:val="20"/>
        </w:rPr>
      </w:pPr>
      <w:bookmarkStart w:id="18" w:name="part_ii_item_2"/>
      <w:bookmarkEnd w:id="18"/>
      <w:r>
        <w:rPr>
          <w:rFonts w:ascii="Times New Roman" w:hAnsi="Times New Roman"/>
          <w:b/>
          <w:color w:val="000000"/>
          <w:sz w:val="20"/>
        </w:rPr>
        <w:t>Item 2. Unregistered Sales of Equity Securities, Use of Proceeds, and Issuer Purchases of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9" w:name="part_ii_item_3"/>
      <w:bookmarkEnd w:id="19"/>
      <w:r>
        <w:rPr>
          <w:rFonts w:ascii="Times New Roman" w:hAnsi="Times New Roman"/>
          <w:b/>
          <w:color w:val="000000"/>
          <w:sz w:val="20"/>
        </w:rPr>
        <w:t>Item 3. Default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20" w:name="part_ii_item_4"/>
      <w:bookmarkEnd w:id="20"/>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21" w:name="part_ii_item_5"/>
      <w:bookmarkEnd w:id="21"/>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pPr>
      <w:r>
        <w:rPr>
          <w:rFonts w:ascii="Times New Roman" w:hAnsi="Times New Roman"/>
          <w:color w:val="000000"/>
          <w:sz w:val="20"/>
        </w:rPr>
        <w:t>During the quarter covered by this report, none of our directors or officers (as defined in Rule 16a-1(f)</w:t>
        <w:br/>
        <w:t>under the Exchange Act) adopted</w:t>
      </w:r>
      <w:r>
        <w:rPr>
          <w:color w:val="000000"/>
        </w:rPr>
        <w:t xml:space="preserve"> </w:t>
      </w:r>
      <w:r>
        <w:rPr>
          <w:rFonts w:ascii="Times New Roman" w:hAnsi="Times New Roman"/>
          <w:color w:val="000000"/>
          <w:sz w:val="20"/>
        </w:rPr>
        <w:t>or terminated</w:t>
      </w:r>
      <w:r>
        <w:rPr>
          <w:color w:val="000000"/>
        </w:rPr>
        <w:t xml:space="preserve"> </w:t>
      </w:r>
      <w:r>
        <w:rPr>
          <w:rFonts w:ascii="Times New Roman" w:hAnsi="Times New Roman"/>
          <w:color w:val="000000"/>
          <w:sz w:val="20"/>
        </w:rPr>
        <w:t>any Rule 10b5-1 trading arrangement (as defined in Item 408(a)(1)(i) of</w:t>
        <w:br/>
        <w:t>Regulation S-K) or any non-Rule 10b5-1 trading arrangement (as defined in Item 408(c) of Regulation S-K).</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22" w:name="part_ii_item_6"/>
      <w:bookmarkEnd w:id="22"/>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7"/>
        <w:gridCol w:w="146"/>
        <w:gridCol w:w="5503"/>
        <w:gridCol w:w="146"/>
        <w:gridCol w:w="691"/>
        <w:gridCol w:w="146"/>
        <w:gridCol w:w="540"/>
        <w:gridCol w:w="146"/>
        <w:gridCol w:w="1156"/>
        <w:gridCol w:w="146"/>
        <w:gridCol w:w="798"/>
      </w:tblGrid>
      <w:tr>
        <w:trPr/>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7"/>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787" w:type="dxa"/>
            <w:tcBorders>
              <w:bottom w:val="single" w:sz="12"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03"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Restated Articles of Incorporation,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3.1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November 9,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001-12830</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Certificate of Ownership</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August 12, 2019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001-12830</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Second 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June 13,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001-12830</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03" w:type="dxa"/>
            <w:tcBorders/>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Amendment No. 2 to the Lineage Cell Therapeutics, Inc. 2021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1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July 2, 2025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9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001-12830</w:t>
            </w:r>
          </w:p>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03" w:type="dxa"/>
            <w:tcBorders/>
            <w:tcMar>
              <w:top w:w="0" w:type="dxa"/>
              <w:left w:w="0" w:type="dxa"/>
              <w:bottom w:w="0" w:type="dxa"/>
              <w:right w:w="0" w:type="dxa"/>
            </w:tcMar>
            <w:vAlign w:val="center"/>
          </w:tcPr>
          <w:p>
            <w:pPr>
              <w:pStyle w:val="TableContents"/>
              <w:bidi w:val="0"/>
              <w:spacing w:before="0" w:after="283"/>
              <w:jc w:val="both"/>
              <w:rPr/>
            </w:pPr>
            <w:hyperlink w:anchor="lctx-ex31_1.htm">
              <w:r>
                <w:rPr>
                  <w:rStyle w:val="InternetLink"/>
                  <w:rFonts w:ascii="Times New Roman" w:hAnsi="Times New Roman"/>
                  <w:color w:val="0000FF"/>
                  <w:sz w:val="20"/>
                  <w:u w:val="single"/>
                </w:rPr>
                <w:t>Certification of Chief Executive Officer pursuant to Form of Rule 13a-14(a), as Adopted Pursuant to Section 302(a)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15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03" w:type="dxa"/>
            <w:tcBorders/>
            <w:tcMar>
              <w:top w:w="0" w:type="dxa"/>
              <w:left w:w="0" w:type="dxa"/>
              <w:bottom w:w="0" w:type="dxa"/>
              <w:right w:w="0" w:type="dxa"/>
            </w:tcMar>
            <w:vAlign w:val="center"/>
          </w:tcPr>
          <w:p>
            <w:pPr>
              <w:pStyle w:val="TableContents"/>
              <w:bidi w:val="0"/>
              <w:spacing w:before="0" w:after="283"/>
              <w:jc w:val="both"/>
              <w:rPr/>
            </w:pPr>
            <w:hyperlink w:anchor="lctx-ex31_2.htm">
              <w:r>
                <w:rPr>
                  <w:rStyle w:val="InternetLink"/>
                  <w:rFonts w:ascii="Times New Roman" w:hAnsi="Times New Roman"/>
                  <w:color w:val="0000FF"/>
                  <w:sz w:val="20"/>
                  <w:u w:val="single"/>
                </w:rPr>
                <w:t>Certification of Chief Financial Officer pursuant to Form of Rule 13a-14(a), as Adopted Pursuant to Section 302(a)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4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15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pPr>
            <w:hyperlink w:anchor="lctx-ex32_1.htm">
              <w:r>
                <w:rPr>
                  <w:rStyle w:val="InternetLink"/>
                  <w:rFonts w:ascii="Times New Roman" w:hAnsi="Times New Roman"/>
                  <w:color w:val="0000FF"/>
                  <w:sz w:val="20"/>
                  <w:u w:val="single"/>
                </w:rPr>
                <w:t>Certification of Chief Executive Officer and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XBRL Instance Document - the instance document does not appear in the Interactive Data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Inline XBRL Taxonomy Extension Schema With Embedded Linkbase documents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jc w:val="both"/>
        <w:rPr>
          <w:rFonts w:ascii="Times New Roman" w:hAnsi="Times New Roman"/>
          <w:color w:val="000000"/>
          <w:sz w:val="20"/>
        </w:rPr>
      </w:pPr>
      <w:r>
        <w:rPr>
          <w:rFonts w:ascii="Times New Roman" w:hAnsi="Times New Roman"/>
          <w:color w:val="000000"/>
          <w:sz w:val="20"/>
        </w:rPr>
        <w:t>^ Indicates management contract or compensatory plan or arrangement.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402" w:type="dxa"/>
        <w:jc w:val="left"/>
        <w:tblInd w:w="0" w:type="dxa"/>
        <w:tblLayout w:type="fixed"/>
        <w:tblCellMar>
          <w:top w:w="28" w:type="dxa"/>
          <w:left w:w="28" w:type="dxa"/>
          <w:bottom w:w="28" w:type="dxa"/>
          <w:right w:w="28" w:type="dxa"/>
        </w:tblCellMar>
      </w:tblPr>
      <w:tblGrid>
        <w:gridCol w:w="1951"/>
        <w:gridCol w:w="3451"/>
      </w:tblGrid>
      <w:tr>
        <w:trPr/>
        <w:tc>
          <w:tcPr>
            <w:tcW w:w="1951"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LINEAGE CELL THERAPEUTICS,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34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M. Culley</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M. Culley</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34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/s/ Jill Ann Howe</w:t>
            </w:r>
            <w:r>
              <w:rPr>
                <w:rFonts w:ascii="Times New Roman" w:hAnsi="Times New Roman"/>
                <w:color w:val="000000"/>
                <w:sz w:val="20"/>
              </w:rPr>
              <w:t xml:space="preserve">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Jill Ann Howe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lctx-ex31_1.htm"/>
      <w:bookmarkStart w:id="25" w:name="kslctxex31_1"/>
      <w:bookmarkEnd w:id="24"/>
      <w:bookmarkEnd w:id="25"/>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 Brian M. Culley,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quarterly report on Form 10-Q of Lineage Cell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August 12, 2025</w:t>
      </w:r>
    </w:p>
    <w:tbl>
      <w:tblPr>
        <w:tblW w:w="2600" w:type="dxa"/>
        <w:jc w:val="left"/>
        <w:tblInd w:w="0" w:type="dxa"/>
        <w:tblLayout w:type="fixed"/>
        <w:tblCellMar>
          <w:top w:w="28" w:type="dxa"/>
          <w:left w:w="28" w:type="dxa"/>
          <w:bottom w:w="28" w:type="dxa"/>
          <w:right w:w="28" w:type="dxa"/>
        </w:tblCellMar>
      </w:tblPr>
      <w:tblGrid>
        <w:gridCol w:w="2446"/>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M. Culley</w:t>
            </w:r>
          </w:p>
        </w:tc>
        <w:tc>
          <w:tcPr>
            <w:tcW w:w="1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M. Culley</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6" w:name="lctx-ex31_2.htm"/>
      <w:bookmarkStart w:id="27" w:name="kslctxex31_2"/>
      <w:bookmarkEnd w:id="26"/>
      <w:bookmarkEnd w:id="27"/>
      <w:r>
        <w:rPr>
          <w:rFonts w:ascii="Times New Roman" w:hAnsi="Times New Roman"/>
          <w:b/>
          <w:color w:val="000000"/>
          <w:sz w:val="24"/>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Jill Ann Howe,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quarterly report on Form 10-Q of Lineage Cell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August 12, 2025</w:t>
      </w:r>
    </w:p>
    <w:p>
      <w:pPr>
        <w:pStyle w:val="TextBody"/>
        <w:bidi w:val="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Jill Ann Howe</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Jill Ann Howe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bookmarkStart w:id="28" w:name="gfpex32_1_htm"/>
      <w:bookmarkEnd w:id="28"/>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lctx-ex32_1.htm"/>
      <w:bookmarkStart w:id="30" w:name="kslctxex32_1"/>
      <w:bookmarkEnd w:id="29"/>
      <w:bookmarkEnd w:id="30"/>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In connection with the quarterly report on Form 10-Q of Lineage Cell Therapeutics, Inc. (the “Company”) for the quarter ended June 30, 2025 as filed with the Securities and Exchange Commission on the date hereof (the “Report”), we, Brian M. Culley, Chief Executive Officer of the Company, and Jill Ann Howe, Chief Financial Officer of the Company, certify pursuant to 18 U.S.C. Section 1350, as adopted pursuant to Section 906 of the Sarbanes-Oxley Act of 2002, that: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August 12, 2025</w:t>
      </w:r>
    </w:p>
    <w:tbl>
      <w:tblPr>
        <w:tblW w:w="2600" w:type="dxa"/>
        <w:jc w:val="left"/>
        <w:tblInd w:w="0" w:type="dxa"/>
        <w:tblLayout w:type="fixed"/>
        <w:tblCellMar>
          <w:top w:w="28" w:type="dxa"/>
          <w:left w:w="28" w:type="dxa"/>
          <w:bottom w:w="28" w:type="dxa"/>
          <w:right w:w="28" w:type="dxa"/>
        </w:tblCellMar>
      </w:tblPr>
      <w:tblGrid>
        <w:gridCol w:w="2446"/>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/s/ Brian M. Culley</w:t>
            </w:r>
          </w:p>
        </w:tc>
        <w:tc>
          <w:tcPr>
            <w:tcW w:w="1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Brian M. Culley</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90" w:type="dxa"/>
        <w:jc w:val="left"/>
        <w:tblInd w:w="0" w:type="dxa"/>
        <w:tblLayout w:type="fixed"/>
        <w:tblCellMar>
          <w:top w:w="28" w:type="dxa"/>
          <w:left w:w="28" w:type="dxa"/>
          <w:bottom w:w="28" w:type="dxa"/>
          <w:right w:w="28" w:type="dxa"/>
        </w:tblCellMar>
      </w:tblPr>
      <w:tblGrid>
        <w:gridCol w:w="3736"/>
        <w:gridCol w:w="154"/>
      </w:tblGrid>
      <w:tr>
        <w:trPr/>
        <w:tc>
          <w:tcPr>
            <w:tcW w:w="3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Jill Ann Howe</w:t>
            </w:r>
          </w:p>
        </w:tc>
        <w:tc>
          <w:tcPr>
            <w:tcW w:w="1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Jill Ann Howe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Lineage Cell Therapeutics, Inc. and will be retained by Lineage Cell Therapeutics, Inc. and furnished to the Securities and Exchange Commission or its staff upon request.</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6343/000149315223040058/ex3-1.htm" TargetMode="External"/><Relationship Id="rId3" Type="http://schemas.openxmlformats.org/officeDocument/2006/relationships/hyperlink" Target="https://www.sec.gov/Archives/edgar/data/876343/000149315219012036/ex3-1.htm" TargetMode="External"/><Relationship Id="rId4" Type="http://schemas.openxmlformats.org/officeDocument/2006/relationships/hyperlink" Target="https://www.sec.gov/Archives/edgar/data/876343/000095017024073072/lctx-ex3_1a.htm" TargetMode="External"/><Relationship Id="rId5" Type="http://schemas.openxmlformats.org/officeDocument/2006/relationships/hyperlink" Target="https://www.sec.gov/Archives/edgar/data/876343/000095017025060090/lctx-20250429.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23968</Words>
  <Characters>133253</Characters>
  <CharactersWithSpaces>158390</CharactersWithSpaces>
  <Paragraphs>6023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