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Bradsher Neal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BROADWOOD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 WEST 56TH STREET,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Lineage Cell Therapeutics, Inc.</w:t>
              </w:r>
            </w:hyperlink>
            <w:r>
              <w:rPr/>
              <w:t xml:space="preserve"> [ </w:t>
            </w:r>
            <w:r>
              <w:rPr>
                <w:rFonts w:ascii="Times;serif" w:hAnsi="Times;serif"/>
                <w:color w:val="0000FF"/>
                <w:sz w:val="24"/>
                <w:shd w:fill="FFFFFF" w:val="clear"/>
              </w:rPr>
              <w:t>LCTX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1041"/>
        <w:gridCol w:w="92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07/01/2036</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0.8977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07/01/2035</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0.9541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07/01/2034</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07/01/2033</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07/01/2032</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07/01/2031</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0.8263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07/01/2030</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06/30/2029</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options will vest and become exercisable on the earlier of: (a) July 1, 2027 and (b) the date of Lineage Cell Therapeutics, Inc.'s (the "Issuer") next annual meeting of shareholders after the grant date, subject, in each case, to Neal C. Bradsher's (the "Reporting Person") continuous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were granted to the Reporting Person by the Issuer on July 1, 2026 as director compensation pursuant to the Issuer's 2021 Equity Incentive Plan,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are currently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Neal C. Bradsher, /s/ Neal C. Bradsher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8388" TargetMode="External"/><Relationship Id="rId5" Type="http://schemas.openxmlformats.org/officeDocument/2006/relationships/hyperlink" Target="http://www.sec.gov/cgi-bin/browse-edgar?action=getcompany&amp;CIK=00008763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4076</Characters>
  <CharactersWithSpaces>4724</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