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lctx-20250930.htm"/>
      <w:bookmarkStart w:id="1" w:name="kslctx202509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center"/>
        <w:rPr/>
      </w:pPr>
      <w:r>
        <w:rPr/>
        <w:t> </w:t>
      </w:r>
    </w:p>
    <w:tbl>
      <w:tblPr>
        <w:tblW w:w="9827" w:type="dxa"/>
        <w:jc w:val="left"/>
        <w:tblInd w:w="0" w:type="dxa"/>
        <w:tblLayout w:type="fixed"/>
        <w:tblCellMar>
          <w:top w:w="28" w:type="dxa"/>
          <w:left w:w="28" w:type="dxa"/>
          <w:bottom w:w="28" w:type="dxa"/>
          <w:right w:w="28" w:type="dxa"/>
        </w:tblCellMar>
      </w:tblPr>
      <w:tblGrid>
        <w:gridCol w:w="331"/>
        <w:gridCol w:w="9496"/>
      </w:tblGrid>
      <w:tr>
        <w:trPr/>
        <w:tc>
          <w:tcPr>
            <w:tcW w:w="331"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color w:val="000000"/>
              </w:rPr>
            </w:pPr>
            <w:r>
              <w:rPr>
                <w:color w:val="000000"/>
              </w:rPr>
              <w:t>☒</w:t>
            </w:r>
          </w:p>
        </w:tc>
        <w:tc>
          <w:tcPr>
            <w:tcW w:w="9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quarterly period ended September 30,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OR</w:t>
      </w:r>
    </w:p>
    <w:p>
      <w:pPr>
        <w:pStyle w:val="TextBody"/>
        <w:bidi w:val="0"/>
        <w:jc w:val="center"/>
        <w:rPr/>
      </w:pPr>
      <w:r>
        <w:rPr/>
        <w:t> </w:t>
      </w:r>
    </w:p>
    <w:tbl>
      <w:tblPr>
        <w:tblW w:w="9797" w:type="dxa"/>
        <w:jc w:val="left"/>
        <w:tblInd w:w="0" w:type="dxa"/>
        <w:tblLayout w:type="fixed"/>
        <w:tblCellMar>
          <w:top w:w="28" w:type="dxa"/>
          <w:left w:w="28" w:type="dxa"/>
          <w:bottom w:w="28" w:type="dxa"/>
          <w:right w:w="28" w:type="dxa"/>
        </w:tblCellMar>
      </w:tblPr>
      <w:tblGrid>
        <w:gridCol w:w="331"/>
        <w:gridCol w:w="9466"/>
      </w:tblGrid>
      <w:tr>
        <w:trPr/>
        <w:tc>
          <w:tcPr>
            <w:tcW w:w="331" w:type="dxa"/>
            <w:tcBorders/>
            <w:vAlign w:val="center"/>
          </w:tcPr>
          <w:p>
            <w:pPr>
              <w:pStyle w:val="TableContents"/>
              <w:bidi w:val="0"/>
              <w:spacing w:before="0" w:after="283"/>
              <w:jc w:val="left"/>
              <w:rPr>
                <w:sz w:val="4"/>
                <w:szCs w:val="4"/>
              </w:rPr>
            </w:pPr>
            <w:r>
              <w:rPr>
                <w:sz w:val="4"/>
                <w:szCs w:val="4"/>
              </w:rPr>
            </w:r>
          </w:p>
        </w:tc>
        <w:tc>
          <w:tcPr>
            <w:tcW w:w="94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 the transition period from _________ to ________</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0"/>
        </w:rPr>
        <w:t xml:space="preserve">Commission file number </w:t>
      </w:r>
      <w:r>
        <w:rPr>
          <w:rFonts w:ascii="Times New Roman" w:hAnsi="Times New Roman"/>
          <w:b/>
          <w:color w:val="000000"/>
          <w:sz w:val="20"/>
        </w:rPr>
        <w:t>001-12830</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Lineage Cell Therapeutics,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4341" w:type="dxa"/>
        <w:jc w:val="left"/>
        <w:tblInd w:w="0" w:type="dxa"/>
        <w:tblLayout w:type="fixed"/>
        <w:tblCellMar>
          <w:top w:w="28" w:type="dxa"/>
          <w:left w:w="28" w:type="dxa"/>
          <w:bottom w:w="28" w:type="dxa"/>
          <w:right w:w="28" w:type="dxa"/>
        </w:tblCellMar>
      </w:tblPr>
      <w:tblGrid>
        <w:gridCol w:w="2581"/>
        <w:gridCol w:w="109"/>
        <w:gridCol w:w="1651"/>
      </w:tblGrid>
      <w:tr>
        <w:trPr/>
        <w:tc>
          <w:tcPr>
            <w:tcW w:w="2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California</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94-3127919</w:t>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2173 Salk Avenue, Suite 200</w:t>
      </w:r>
    </w:p>
    <w:p>
      <w:pPr>
        <w:pStyle w:val="TextBody"/>
        <w:bidi w:val="0"/>
        <w:jc w:val="center"/>
        <w:rPr>
          <w:rFonts w:ascii="Times New Roman" w:hAnsi="Times New Roman"/>
          <w:sz w:val="20"/>
        </w:rPr>
      </w:pPr>
      <w:r>
        <w:rPr>
          <w:rFonts w:ascii="Times New Roman" w:hAnsi="Times New Roman"/>
          <w:b/>
          <w:color w:val="000000"/>
          <w:sz w:val="20"/>
        </w:rPr>
        <w:t>Carlsbad, California</w:t>
      </w:r>
      <w:r>
        <w:rPr>
          <w:rFonts w:ascii="Times New Roman" w:hAnsi="Times New Roman"/>
          <w:color w:val="000000"/>
          <w:sz w:val="20"/>
        </w:rPr>
        <w:t xml:space="preserve"> </w:t>
      </w:r>
      <w:r>
        <w:rPr>
          <w:rFonts w:ascii="Times New Roman" w:hAnsi="Times New Roman"/>
          <w:b/>
          <w:color w:val="000000"/>
          <w:sz w:val="20"/>
        </w:rPr>
        <w:t>92008</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 (442) 287-8990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6506" w:type="dxa"/>
        <w:jc w:val="left"/>
        <w:tblInd w:w="0" w:type="dxa"/>
        <w:tblLayout w:type="fixed"/>
        <w:tblCellMar>
          <w:top w:w="28" w:type="dxa"/>
          <w:left w:w="28" w:type="dxa"/>
          <w:bottom w:w="28" w:type="dxa"/>
          <w:right w:w="28" w:type="dxa"/>
        </w:tblCellMar>
      </w:tblPr>
      <w:tblGrid>
        <w:gridCol w:w="1576"/>
        <w:gridCol w:w="109"/>
        <w:gridCol w:w="1426"/>
        <w:gridCol w:w="109"/>
        <w:gridCol w:w="3286"/>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15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exchange on which registered</w:t>
            </w:r>
          </w:p>
        </w:tc>
      </w:tr>
      <w:tr>
        <w:trPr/>
        <w:tc>
          <w:tcPr>
            <w:tcW w:w="15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LCTX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NYSE American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32" w:type="dxa"/>
        <w:jc w:val="left"/>
        <w:tblInd w:w="0" w:type="dxa"/>
        <w:tblLayout w:type="fixed"/>
        <w:tblCellMar>
          <w:top w:w="28" w:type="dxa"/>
          <w:left w:w="28" w:type="dxa"/>
          <w:bottom w:w="28" w:type="dxa"/>
          <w:right w:w="28" w:type="dxa"/>
        </w:tblCellMar>
      </w:tblPr>
      <w:tblGrid>
        <w:gridCol w:w="2551"/>
        <w:gridCol w:w="2581"/>
      </w:tblGrid>
      <w:tr>
        <w:trPr/>
        <w:tc>
          <w:tcPr>
            <w:tcW w:w="255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5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 ☐</w:t>
            </w:r>
          </w:p>
        </w:tc>
        <w:tc>
          <w:tcPr>
            <w:tcW w:w="2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 Yes ☒ No</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number of common shares outstanding as of October 31, 2025 was 230,327,537.</w:t>
      </w:r>
    </w:p>
    <w:p>
      <w:pPr>
        <w:pStyle w:val="TextBody"/>
        <w:pBdr>
          <w:bottom w:val="double" w:sz="6" w:space="1" w:color="000000"/>
        </w:pBdr>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p>
      <w:pPr>
        <w:pStyle w:val="TextBody"/>
        <w:bidi w:val="0"/>
        <w:jc w:val="left"/>
        <w:rPr/>
      </w:pPr>
      <w:r>
        <w:rPr/>
        <w:t> </w:t>
      </w:r>
    </w:p>
    <w:tbl>
      <w:tblPr>
        <w:tblW w:w="9348" w:type="dxa"/>
        <w:jc w:val="left"/>
        <w:tblInd w:w="0" w:type="dxa"/>
        <w:tblLayout w:type="fixed"/>
        <w:tblCellMar>
          <w:top w:w="28" w:type="dxa"/>
          <w:left w:w="28" w:type="dxa"/>
          <w:bottom w:w="28" w:type="dxa"/>
          <w:right w:w="28" w:type="dxa"/>
        </w:tblCellMar>
      </w:tblPr>
      <w:tblGrid>
        <w:gridCol w:w="826"/>
        <w:gridCol w:w="8011"/>
        <w:gridCol w:w="511"/>
      </w:tblGrid>
      <w:tr>
        <w:trPr/>
        <w:tc>
          <w:tcPr>
            <w:tcW w:w="826" w:type="dxa"/>
            <w:tcBorders/>
            <w:vAlign w:val="center"/>
          </w:tcPr>
          <w:p>
            <w:pPr>
              <w:pStyle w:val="TableContents"/>
              <w:bidi w:val="0"/>
              <w:spacing w:before="0" w:after="283"/>
              <w:jc w:val="left"/>
              <w:rPr>
                <w:sz w:val="4"/>
                <w:szCs w:val="4"/>
              </w:rPr>
            </w:pPr>
            <w:r>
              <w:rPr>
                <w:sz w:val="4"/>
                <w:szCs w:val="4"/>
              </w:rPr>
            </w:r>
          </w:p>
        </w:tc>
        <w:tc>
          <w:tcPr>
            <w:tcW w:w="80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120" w:after="283"/>
              <w:jc w:val="center"/>
              <w:rPr>
                <w:rFonts w:ascii="Times New Roman" w:hAnsi="Times New Roman"/>
                <w:b/>
                <w:color w:val="000000"/>
                <w:sz w:val="16"/>
              </w:rPr>
            </w:pPr>
            <w:r>
              <w:rPr>
                <w:rFonts w:ascii="Times New Roman" w:hAnsi="Times New Roman"/>
                <w:b/>
                <w:color w:val="000000"/>
                <w:sz w:val="16"/>
              </w:rPr>
              <w:t>Page</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PART I.</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1_financial_statements">
              <w:r>
                <w:rPr>
                  <w:rStyle w:val="InternetLink"/>
                  <w:rFonts w:ascii="Times New Roman" w:hAnsi="Times New Roman"/>
                  <w:color w:val="0000FF"/>
                  <w:sz w:val="20"/>
                  <w:u w:val="single"/>
                </w:rPr>
                <w:t>Financial Statements (Unaudited)</w:t>
              </w:r>
            </w:hyperlink>
            <w:hyperlink w:anchor="item_1_financial_statemen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5</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6</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comp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7</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pPr>
            <w:r>
              <w:rPr/>
              <w:t> </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equity">
              <w:r>
                <w:rPr>
                  <w:rStyle w:val="InternetLink"/>
                  <w:rFonts w:ascii="Times New Roman" w:hAnsi="Times New Roman"/>
                  <w:color w:val="0000FF"/>
                  <w:sz w:val="20"/>
                  <w:u w:val="single"/>
                </w:rPr>
                <w:t>Condensed Consolidated Statements of Changes in Shareholders'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8</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10</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notes_to_the_consolidated_financial">
              <w:r>
                <w:rPr>
                  <w:rStyle w:val="InternetLink"/>
                  <w:rFonts w:ascii="Times New Roman" w:hAnsi="Times New Roman"/>
                  <w:color w:val="0000FF"/>
                  <w:sz w:val="20"/>
                  <w:u w:val="single"/>
                </w:rPr>
                <w:t>Notes to the Condensed Consolidated Interim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11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2_mda">
              <w:r>
                <w:rPr>
                  <w:rStyle w:val="InternetLink"/>
                  <w:rFonts w:ascii="Times New Roman" w:hAnsi="Times New Roman"/>
                  <w:color w:val="0000FF"/>
                  <w:sz w:val="20"/>
                  <w:u w:val="single"/>
                </w:rPr>
                <w:t>Management’s Discussion and Analysis of Financial Condition and Result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31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40</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item_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40</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PART II.</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1">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1A.</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2.</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2">
              <w:r>
                <w:rPr>
                  <w:rStyle w:val="InternetLink"/>
                  <w:rFonts w:ascii="Times New Roman" w:hAnsi="Times New Roman"/>
                  <w:color w:val="0000FF"/>
                  <w:sz w:val="20"/>
                  <w:u w:val="single"/>
                </w:rPr>
                <w:t>Unregistered Sales of Equity Securities, Use of Proceeds, and Issuer Purchases of Equity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3.</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3">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4.</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4">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5.</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5">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41</w:t>
            </w:r>
          </w:p>
        </w:tc>
      </w:tr>
      <w:tr>
        <w:trPr/>
        <w:tc>
          <w:tcPr>
            <w:tcW w:w="826" w:type="dxa"/>
            <w:tcBorders/>
            <w:shd w:fill="FFFFFF" w:val="clear"/>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Item 6.</w:t>
            </w:r>
          </w:p>
        </w:tc>
        <w:tc>
          <w:tcPr>
            <w:tcW w:w="8011" w:type="dxa"/>
            <w:tcBorders/>
            <w:shd w:fill="FFFFFF" w:val="clear"/>
            <w:tcMar>
              <w:top w:w="0" w:type="dxa"/>
              <w:left w:w="0" w:type="dxa"/>
              <w:bottom w:w="0" w:type="dxa"/>
              <w:right w:w="0" w:type="dxa"/>
            </w:tcMar>
            <w:vAlign w:val="center"/>
          </w:tcPr>
          <w:p>
            <w:pPr>
              <w:pStyle w:val="TableContents"/>
              <w:bidi w:val="0"/>
              <w:spacing w:before="120" w:after="283"/>
              <w:jc w:val="left"/>
              <w:rPr/>
            </w:pPr>
            <w:hyperlink w:anchor="part_ii_item_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42</w:t>
            </w:r>
          </w:p>
        </w:tc>
      </w:tr>
      <w:tr>
        <w:trPr/>
        <w:tc>
          <w:tcPr>
            <w:tcW w:w="8837" w:type="dxa"/>
            <w:gridSpan w:val="2"/>
            <w:tcBorders/>
            <w:shd w:fill="FFFFFF" w:val="clear"/>
            <w:tcMar>
              <w:top w:w="0" w:type="dxa"/>
              <w:left w:w="0" w:type="dxa"/>
              <w:bottom w:w="0" w:type="dxa"/>
              <w:right w:w="0" w:type="dxa"/>
            </w:tcMar>
            <w:vAlign w:val="center"/>
          </w:tcPr>
          <w:p>
            <w:pPr>
              <w:pStyle w:val="TableContents"/>
              <w:bidi w:val="0"/>
              <w:spacing w:before="12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color w:val="000000"/>
                <w:sz w:val="20"/>
              </w:rPr>
            </w:pPr>
            <w:r>
              <w:rPr>
                <w:rFonts w:ascii="Times New Roman" w:hAnsi="Times New Roman"/>
                <w:color w:val="000000"/>
                <w:sz w:val="20"/>
              </w:rPr>
              <w:t>43</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pecial_note_regarding_forward_looking"/>
      <w:bookmarkEnd w:id="2"/>
      <w:r>
        <w:rPr>
          <w:rFonts w:ascii="Times New Roman" w:hAnsi="Times New Roman"/>
          <w:b/>
          <w:color w:val="000000"/>
          <w:sz w:val="20"/>
        </w:rPr>
        <w:t>SPECIAL NOTE REGARDING FORWARD-LOOKING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report contains forward-looking statements within the meaning of Section 27A of the Securities Act of 1933, as amended, and Section 21E of the Securities Exchange Act of 1934, as amended (the “Exchange Act”), that involve substantial risks and uncertainties. The forward-looking statements are contained principally in Part I, Item 2. “Management’s Discussion and Analysis of Financial Condition and Results of Operations” of this report, but are also contained elsewhere in this report. We make such forward-looking statements pursuant to the safe harbor provisions of the Private Securities Litigation Reform Act of 1995 and other federal securities laws. All statements other than statements of historical fact contained in this report are forward-looking statements.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Forward-looking statements in this report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to receive developmental, regulatory, and commercialization milestone and royalty payments under our Collaboration and License Agreement with F. Hoffmann-La Roche Ltd and Genentech, Inc.;</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continued ability to successfully manufacture our product candidates in a reproducible, scalable, and cost-effective manner, for clinical development and, if approved, for commercialization, including our future capability of producing several million doses of OpRegen</w:t>
      </w:r>
      <w:r>
        <w:rPr>
          <w:rFonts w:ascii="Times New Roman" w:hAnsi="Times New Roman"/>
          <w:color w:val="000000"/>
          <w:sz w:val="13"/>
        </w:rPr>
        <w:t>®</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leverage our expertise to produce a cost-effective, scalable, and consistent supply of allogeneic cell transplant product candidates for ourselves and others, including for indications requiring large cell doses;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research,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success, cost and timing of our clinical trials and other product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therapeutic potential of our product candidates, and the indications for which we intend to develop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of our cell therapy platform;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additional capital to fund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that holders of outstanding warrants to purchase our common shares will exercise such warrants on a cash basis;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and plans regarding existing and potential future collaborations with third parties such as pharmaceutical and biotechnology companies, government agencies, academic laboratories, and research institutes for the discovery, development, and/or commercialization of novel cell therapy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growth of the potential markets for our product candidates and our ability to serve those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potential scope and value of our intellectual property rights;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effects on our operations of the Israeli regional conflict and broader regional conflict, other geopolitical conflicts, political and economic uncertainty, rising inflation and interest rates, and other macroeconomic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reflect our views and expectations as of the date of this report about future events and our future performance and condition, and involve known and unknown risks, uncertainties and other factors that may cause our actual activities, performance, results or condition to be materially different from those expressed or implied by the forward-looking statements. You should refer to “Item 1A. Risk Factors” in Part II of this report and in Part I of our Annual Report on Form 10-K for the fiscal year ended December 31, 2024 (the “2024 10-K”) as filed with the Securities and Exchange Commission (the “SEC”) on March 10, 2025, for a discussion of important factors that may cause our actual activities, performance, results and condition to differ materially from those expressed or implied by our forward-looking statements. As a result of a variety of factors, including those discussed in Item 1A. Risk Factors in Part II of this report and in Part I of the 2024 10-K, our forward-looking statements may prove to be inaccurate, and the inaccuracy may be material. Accordingly, you should not place undue reliance on any forward-looking statement. We anticipate that subsequent events and developments may cause our current views and expectations to change. However, while we may elect to update the forward-looking statements in this report at some point in the future, we undertake no obligation to publicly update any forward-looking statements, whether as a result of new information, future events or otherwise, except as required by law. You should, therefore, not rely on these forward-looking statements as representing our views as of any date after the date of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 should read this report and the documents that we reference in this report completely and with the understanding that our actual future performance, results and condition may be materially different from what we expect. We qualify all of our forward-looking statements by these cautionary statements.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3" w:name="market_data_and_trademarks"/>
      <w:bookmarkEnd w:id="3"/>
      <w:r>
        <w:rPr>
          <w:rFonts w:ascii="Times New Roman" w:hAnsi="Times New Roman"/>
          <w:b/>
          <w:color w:val="000000"/>
          <w:sz w:val="20"/>
        </w:rPr>
        <w:t>MARKET DATA AND TRADEMARKS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report also contains market data, industry forecasts and other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All brand names or trademarks appearing in this report are the property of their respective owners. Solely for convenience, the trademarks and trade names in this report may be referred to without the symbols </w:t>
      </w:r>
      <w:r>
        <w:rPr>
          <w:rFonts w:ascii="Times New Roman" w:hAnsi="Times New Roman"/>
          <w:color w:val="000000"/>
          <w:sz w:val="13"/>
        </w:rPr>
        <w:t>®</w:t>
      </w:r>
      <w:r>
        <w:rPr>
          <w:rFonts w:ascii="Times New Roman" w:hAnsi="Times New Roman"/>
          <w:color w:val="000000"/>
          <w:sz w:val="20"/>
        </w:rPr>
        <w:t xml:space="preserve"> and </w:t>
      </w:r>
      <w:r>
        <w:rPr>
          <w:rFonts w:ascii="Times New Roman" w:hAnsi="Times New Roman"/>
          <w:color w:val="000000"/>
          <w:sz w:val="13"/>
        </w:rPr>
        <w:t>TM</w:t>
      </w:r>
      <w:r>
        <w:rPr>
          <w:rFonts w:ascii="Times New Roman" w:hAnsi="Times New Roman"/>
          <w:color w:val="000000"/>
          <w:sz w:val="20"/>
        </w:rPr>
        <w:t xml:space="preserve">, but such references should not be construed as any indication that their respective owners will not assert, to the fullest extent under applicable law, their rights thereto.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Unless otherwise stated or the context requires otherwise, references in this report to “Lineage,” the “Company,” “our company,” “we,” “us,” and “our” refer collectively to Lineage Cell Therapeutics, Inc. and its consolidated subsidiaries.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 – FINANCIAL INFORMATION</w:t>
      </w:r>
    </w:p>
    <w:p>
      <w:pPr>
        <w:pStyle w:val="TextBody"/>
        <w:bidi w:val="0"/>
        <w:spacing w:before="240" w:after="283"/>
        <w:jc w:val="both"/>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6" w:name="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33"/>
        <w:gridCol w:w="246"/>
        <w:gridCol w:w="295"/>
        <w:gridCol w:w="1175"/>
        <w:gridCol w:w="166"/>
        <w:gridCol w:w="246"/>
        <w:gridCol w:w="287"/>
        <w:gridCol w:w="1144"/>
        <w:gridCol w:w="413"/>
      </w:tblGrid>
      <w:tr>
        <w:trPr/>
        <w:tc>
          <w:tcPr>
            <w:tcW w:w="62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3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 and other long-term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7,388</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7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14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13,977</w:t>
            </w:r>
          </w:p>
        </w:tc>
        <w:tc>
          <w:tcPr>
            <w:tcW w:w="413"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net of current portion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shares, no par value, 2,000 shares authorized; none issued and </w:t>
              <w:br/>
              <w:t>   outstanding as of September 30, 2025 and December 31, 2024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shares, no par value, 450,000 shares authorized as of </w:t>
              <w:br/>
              <w:t xml:space="preserve">   September 30, 2025 and December 31, 2024; 230,328 and 220,416 shares issued </w:t>
              <w:br/>
              <w:t>   and outstanding as of September 30, 2025 and December 31, 2024, respectively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484,722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(403,465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Lineage's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deficit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113,218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7" w:name="consolidated_statements_of_operations"/>
      <w:bookmarkEnd w:id="7"/>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55"/>
        <w:gridCol w:w="146"/>
        <w:gridCol w:w="223"/>
        <w:gridCol w:w="827"/>
        <w:gridCol w:w="175"/>
        <w:gridCol w:w="154"/>
        <w:gridCol w:w="223"/>
        <w:gridCol w:w="827"/>
        <w:gridCol w:w="166"/>
        <w:gridCol w:w="146"/>
        <w:gridCol w:w="217"/>
        <w:gridCol w:w="805"/>
        <w:gridCol w:w="170"/>
        <w:gridCol w:w="150"/>
        <w:gridCol w:w="217"/>
        <w:gridCol w:w="805"/>
        <w:gridCol w:w="399"/>
      </w:tblGrid>
      <w:tr>
        <w:trPr/>
        <w:tc>
          <w:tcPr>
            <w:tcW w:w="4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Nine Months Ended September 30,</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license and other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39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9,049</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13,770</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impairment of intangible asset (Note 6 and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22,999</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(30,071</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(16,368</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(loss) on marketable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(26,557</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transaction gain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LINEAGE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(29,781</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(64,384</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(15,336</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attributable to Lineage</w:t>
              <w:br/>
              <w:t>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common shares used to compute basic and </w:t>
              <w:br/>
              <w:t>   diluted 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228,853</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227,765</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186,860</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8" w:name="consolidated_statements_comp_loss"/>
      <w:bookmarkEnd w:id="8"/>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88"/>
        <w:gridCol w:w="146"/>
        <w:gridCol w:w="240"/>
        <w:gridCol w:w="839"/>
        <w:gridCol w:w="188"/>
        <w:gridCol w:w="166"/>
        <w:gridCol w:w="240"/>
        <w:gridCol w:w="719"/>
        <w:gridCol w:w="166"/>
        <w:gridCol w:w="146"/>
        <w:gridCol w:w="224"/>
        <w:gridCol w:w="785"/>
        <w:gridCol w:w="176"/>
        <w:gridCol w:w="155"/>
        <w:gridCol w:w="224"/>
        <w:gridCol w:w="785"/>
        <w:gridCol w:w="318"/>
      </w:tblGrid>
      <w:tr>
        <w:trPr/>
        <w:tc>
          <w:tcPr>
            <w:tcW w:w="4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Nine Months Ended September 30,</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8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(29,940</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(65,669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(15,154</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8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Comprehensive (income) loss attributable to </w:t>
              <w:br/>
              <w:t>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COMPREHENSIVE LOSS ATTRIBUTABLE TO LINEAGE </w:t>
              <w:br/>
              <w:t>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(29,969</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(65,794</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(15,158</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9" w:name="consolidated_statements_of_equity"/>
      <w:bookmarkEnd w:id="9"/>
      <w:r>
        <w:rPr>
          <w:rFonts w:ascii="Times New Roman" w:hAnsi="Times New Roman"/>
          <w:b/>
          <w:color w:val="000000"/>
          <w:sz w:val="20"/>
        </w:rPr>
        <w:t>CONDENSED 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0"/>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35"/>
        <w:gridCol w:w="823"/>
        <w:gridCol w:w="313"/>
      </w:tblGrid>
      <w:tr>
        <w:trPr/>
        <w:tc>
          <w:tcPr>
            <w:tcW w:w="1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(438,068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47,112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warrant liability reclassified to share</w:t>
              <w:br/>
              <w:t>   capital 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20,796</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79"/>
        <w:gridCol w:w="146"/>
        <w:gridCol w:w="146"/>
        <w:gridCol w:w="781"/>
        <w:gridCol w:w="146"/>
        <w:gridCol w:w="146"/>
        <w:gridCol w:w="211"/>
        <w:gridCol w:w="781"/>
        <w:gridCol w:w="146"/>
        <w:gridCol w:w="146"/>
        <w:gridCol w:w="211"/>
        <w:gridCol w:w="841"/>
        <w:gridCol w:w="166"/>
        <w:gridCol w:w="146"/>
        <w:gridCol w:w="300"/>
        <w:gridCol w:w="901"/>
        <w:gridCol w:w="166"/>
        <w:gridCol w:w="146"/>
        <w:gridCol w:w="304"/>
        <w:gridCol w:w="912"/>
        <w:gridCol w:w="166"/>
        <w:gridCol w:w="146"/>
        <w:gridCol w:w="252"/>
        <w:gridCol w:w="808"/>
        <w:gridCol w:w="312"/>
      </w:tblGrid>
      <w:tr>
        <w:trPr/>
        <w:tc>
          <w:tcPr>
            <w:tcW w:w="1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9893"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66,875</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7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469,268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64,794</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CHANGES IN SHAREHOLDERS’ EQUITY</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35"/>
        <w:gridCol w:w="822"/>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2025</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77,012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registered direct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Derivative warrant liability reclassified to share </w:t>
              <w:br/>
              <w:t>   capital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(64,259</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(467,849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20,796</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1"/>
        <w:gridCol w:w="146"/>
        <w:gridCol w:w="146"/>
        <w:gridCol w:w="781"/>
        <w:gridCol w:w="146"/>
        <w:gridCol w:w="146"/>
        <w:gridCol w:w="211"/>
        <w:gridCol w:w="781"/>
        <w:gridCol w:w="166"/>
        <w:gridCol w:w="146"/>
        <w:gridCol w:w="211"/>
        <w:gridCol w:w="841"/>
        <w:gridCol w:w="166"/>
        <w:gridCol w:w="146"/>
        <w:gridCol w:w="300"/>
        <w:gridCol w:w="901"/>
        <w:gridCol w:w="166"/>
        <w:gridCol w:w="146"/>
        <w:gridCol w:w="304"/>
        <w:gridCol w:w="912"/>
        <w:gridCol w:w="166"/>
        <w:gridCol w:w="146"/>
        <w:gridCol w:w="235"/>
        <w:gridCol w:w="822"/>
        <w:gridCol w:w="313"/>
      </w:tblGrid>
      <w:tr>
        <w:trPr/>
        <w:tc>
          <w:tcPr>
            <w:tcW w:w="1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989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62,023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registered direct financings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through ATM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Shares issued upon vesting of restricted stock units, </w:t>
              <w:br/>
              <w:t>   net of shares retired to pay employees’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Shares issued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469,268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64,794</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0" w:name="consolidated_statements_of_cash_flows"/>
      <w:bookmarkEnd w:id="10"/>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22"/>
        <w:gridCol w:w="146"/>
        <w:gridCol w:w="196"/>
        <w:gridCol w:w="661"/>
        <w:gridCol w:w="166"/>
        <w:gridCol w:w="146"/>
        <w:gridCol w:w="196"/>
        <w:gridCol w:w="661"/>
        <w:gridCol w:w="411"/>
      </w:tblGrid>
      <w:tr>
        <w:trPr/>
        <w:tc>
          <w:tcPr>
            <w:tcW w:w="7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attributable to Lineage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(loss)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Adjustments to reconcile net loss attributable to Lineage Cell Therapeutics, Inc. </w:t>
              <w:br/>
              <w:t>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costs for common stock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income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Foreign currency remeasurement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the sale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Purchases of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employee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shares received and retired for employee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under ATM,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under registered direct financing,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sale of common shares with warrants under registered direct financing, net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financed insurance premium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 of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NET DECREASE IN CASH, CASH EQUIVALENTS AND </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At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SUPPLEMENTAL SCHEDULE OF NON-CASH FINANCING AND </w:t>
              <w:br/>
              <w:t>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Property and equipment expenditures in 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Fair value of warrant liability recognized upon issuance in registered direct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Derivative warrant liability reclassified to share capital on 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Receivable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 xml:space="preserve">Restricted cash included in deposits and other long-term assets </w:t>
              <w:br/>
              <w:t>   (see Note 13 (Commitments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interim financial statements.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bookmarkStart w:id="11" w:name="notes_to_the_consolidated_financial"/>
      <w:bookmarkEnd w:id="11"/>
      <w:r>
        <w:rPr>
          <w:rFonts w:ascii="Times New Roman" w:hAnsi="Times New Roman"/>
          <w:b/>
          <w:color w:val="000000"/>
          <w:sz w:val="20"/>
        </w:rPr>
        <w:t>NOTES TO THE CONDENSED CONSOLIDATED INTERIM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 Organization, Basis of Presentation and Liquidity</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for serious </w:t>
      </w:r>
      <w:r>
        <w:rPr>
          <w:rFonts w:ascii="Times New Roman" w:hAnsi="Times New Roman"/>
          <w:color w:val="000000"/>
          <w:sz w:val="22"/>
        </w:rPr>
        <w:t>medical</w:t>
      </w:r>
      <w:r>
        <w:rPr>
          <w:rFonts w:ascii="Times New Roman" w:hAnsi="Times New Roman"/>
          <w:color w:val="000000"/>
          <w:sz w:val="20"/>
        </w:rPr>
        <w:t xml:space="preserve"> conditions. Our programs are based on our proprietary, cell-based technology platform and associated development, formulation, manufacturing and delivery capabilities. From this platform, we design, develop, manufacture, and test specialized human cells with anatomical and physiological functions similar or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 cells with desired characteristics. Functional cells developed from such lineages that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enhance the patient's functional activity. Our business strategy is to efficiently leverage our technology platform and our development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pipeline of allogeneic, or “off-the-shelf”, cell therapy programs currently available to us for development includes: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OpRegen</w:t>
      </w:r>
      <w:r>
        <w:rPr>
          <w:rFonts w:ascii="Times New Roman" w:hAnsi="Times New Roman"/>
          <w:color w:val="000000"/>
          <w:sz w:val="13"/>
        </w:rPr>
        <w:t>®</w:t>
      </w:r>
      <w:r>
        <w:rPr>
          <w:color w:val="000000"/>
        </w:rPr>
        <w:t xml:space="preserve"> </w:t>
      </w:r>
      <w:r>
        <w:rPr>
          <w:rFonts w:ascii="Times New Roman" w:hAnsi="Times New Roman"/>
          <w:i/>
          <w:color w:val="000000"/>
          <w:sz w:val="20"/>
        </w:rPr>
        <w:t xml:space="preserve">(RG6501), </w:t>
      </w:r>
      <w:r>
        <w:rPr>
          <w:rFonts w:ascii="Times New Roman" w:hAnsi="Times New Roman"/>
          <w:color w:val="000000"/>
          <w:sz w:val="20"/>
        </w:rPr>
        <w:t xml:space="preserve">an allogeneic retinal pigmented epithelial (“RPE”) cell replacement therapy currently in Phase 2a development under a worldwide collaboration with F. Hoffmann-La Roche Ltd and Genentech, Inc., a member of the Roche Group (collectively or individually, “Roche” or “Genentech”), for the treatment of geographic atrophy (“GA”) secondary to age-related macular degeneration (“AMD”).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OPC1, </w:t>
      </w:r>
      <w:r>
        <w:rPr>
          <w:rFonts w:ascii="Times New Roman" w:hAnsi="Times New Roman"/>
          <w:color w:val="000000"/>
          <w:sz w:val="20"/>
        </w:rPr>
        <w:t xml:space="preserve">an allogeneic oligodendrocyte progenitor cell therapy currently in Phase 1/2a development for the treatment of spinal cord injuries (“SCI”).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ReSonance</w:t>
      </w:r>
      <w:r>
        <w:rPr>
          <w:rFonts w:ascii="Times New Roman" w:hAnsi="Times New Roman"/>
          <w:i/>
          <w:color w:val="000000"/>
          <w:sz w:val="13"/>
        </w:rPr>
        <w:t>TM</w:t>
      </w:r>
      <w:r>
        <w:rPr>
          <w:color w:val="000000"/>
        </w:rPr>
        <w:t xml:space="preserve"> </w:t>
      </w:r>
      <w:r>
        <w:rPr>
          <w:rFonts w:ascii="Times New Roman" w:hAnsi="Times New Roman"/>
          <w:i/>
          <w:color w:val="000000"/>
          <w:sz w:val="20"/>
        </w:rPr>
        <w:t xml:space="preserve">(ANP1), </w:t>
      </w:r>
      <w:r>
        <w:rPr>
          <w:rFonts w:ascii="Times New Roman" w:hAnsi="Times New Roman"/>
          <w:color w:val="000000"/>
          <w:sz w:val="20"/>
        </w:rPr>
        <w:t>an allogeneic auditory neuron progenitor cell transplant currently in preclinical development under a collaboration with William Demant Invest 2 Aps (“WDI”) for the potential treatment of auditory neuropathy.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PNC1</w:t>
      </w:r>
      <w:r>
        <w:rPr>
          <w:rFonts w:ascii="Times New Roman" w:hAnsi="Times New Roman"/>
          <w:color w:val="000000"/>
          <w:sz w:val="20"/>
        </w:rPr>
        <w:t xml:space="preserve">, an allogeneic photoreceptor cell transplant currently in preclinical development for the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RND1, </w:t>
      </w:r>
      <w:r>
        <w:rPr>
          <w:rFonts w:ascii="Times New Roman" w:hAnsi="Times New Roman"/>
          <w:color w:val="000000"/>
          <w:sz w:val="20"/>
        </w:rPr>
        <w:t>a cell transplant program for an undisclosed indication, currently being developed through a gene editing collaboration with Factor Biosciences Limited.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 proprietary hypoimmune cell line,</w:t>
      </w:r>
      <w:r>
        <w:rPr>
          <w:color w:val="000000"/>
        </w:rPr>
        <w:t xml:space="preserve"> </w:t>
      </w:r>
      <w:r>
        <w:rPr>
          <w:rFonts w:ascii="Times New Roman" w:hAnsi="Times New Roman"/>
          <w:color w:val="000000"/>
          <w:sz w:val="20"/>
        </w:rPr>
        <w:t>which may have utility in additional central nervous system indications.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ILT1, </w:t>
      </w:r>
      <w:r>
        <w:rPr>
          <w:rFonts w:ascii="Times New Roman" w:hAnsi="Times New Roman"/>
          <w:color w:val="000000"/>
          <w:sz w:val="20"/>
        </w:rPr>
        <w:t>an allogeneic islet cell transplant research program for the treatment of type 1 diabetes (T1D). We aim to deploy our manufacturing capability to address the issue of large-scale production of islet cells, with an initial goal of establishing a production modality that can support the entire production process in a dynamic culturing system, potentially solving a major hurdle to commercialization of islet cell therapy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lead cell therapy program, known as OpRegen, is being developed for the treatment of ocular disorders, including GA secondary to AMD under the Collaboration and License Agreement we entered into with Roche in December 2021 (the “Roche Agreement”). OpRegen (also known as RG6501) is a suspension of human allogeneic RPE cells and is currently being evaluated in a Phase 2a multicenter clinical trial in patients with GA secondary to AMD which is referred to as the GAlette Study. OpRegen subretinal delivery has the potential to counteract RPE cell loss in areas of GA lesions by supporting retinal cell health and improving retinal structure and function. Under the terms of the Roche Agreement, we received a $50.0 million upfront payment in January 2022 and are eligible to receive up to an additional $620.0 million in developmental, regulatory, and commercialization milestone payments. We also are eligible to receive tiered double-digit percentage royalties on net sales of OpRegen in the U.S. and other major markets. In May 2024, we entered into an additional agreement with Genentech pursuant to which we agreed to provide Genentech with supplemental clinical, technical, training, manufacturing, and procurement services that support the ongoing advancement of the OpRegen program in exchange for certain payments. In September 2024, Roche and Genentech announced receipt of Regenerative Medicine Advanced Therapy (“RMAT”) designation from the U.S. Food and Drug Administration (“FDA”) for OpRegen for the treatment of GA secondary to dry AMD. In June 2025, Roche and Genentech presented positive 36-month visual acuity results at Clinical Trials at The Summit 2025, from the Lineage-run Phase 1/2a clinical trial of OpRegen. The presentation showed that (i) gains in Best Corrected Visual Acuity (BCVA) in patients in Cohort 4 (less advanced GA) measured at month 12 remain evident through month 36 following subretinal administration of OpRegen cell therapy; (ii) improvement in BCVA and outer retinal structure in patients with extensive OpRegen bleb coverage of their GA area was greater than in patients with limited coverage and persisted through month 36; (iii) in those patients with extensive OpRegen cell therapy coverage of atrophic areas at the time of surgical delivery, the mean change in BCVA was +9.0 ETDRS letters for those completing 3-year follow-up (compared to +7.4 ETDRS letters at 24 months) (n=5); and (iv) these data suggest that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OpRegen cell therapy may counteract RPE cell dysfunction and loss in GA by providing support to the remaining retinal cells within atrophic areas, and these effects appear durable through at least 36 months after a single administration.</w:t>
      </w:r>
    </w:p>
    <w:p>
      <w:pPr>
        <w:pStyle w:val="TextBody"/>
        <w:bidi w:val="0"/>
        <w:spacing w:before="240" w:after="283"/>
        <w:jc w:val="both"/>
        <w:rPr>
          <w:rFonts w:ascii="Times New Roman" w:hAnsi="Times New Roman"/>
          <w:sz w:val="20"/>
        </w:rPr>
      </w:pPr>
      <w:r>
        <w:rPr>
          <w:rFonts w:ascii="Times New Roman" w:hAnsi="Times New Roman"/>
          <w:color w:val="000000"/>
          <w:sz w:val="20"/>
        </w:rPr>
        <w:t>Our most advanced internally owned product candidate is OPC1, an allogeneic oligodendrocyte progenitor cell therapy designed to improve recovery following an SCI. Improved functional activity can lead to greater mobility and enhanced quality of life for those affected by a SCI and significant cost-savings for caregivers and payors. OPC1 also has an extensive long-term safety profile based on two clinical trials conducted to date: a five-subject Phase 1 safety trial in acute thoracic SCI, where all active participants have been followed for at least 13 years, and a 25-subject Phase 1/2a multicenter dose-escalation trial in subacute cervical SCI, where all active participants were evaluated for at least 7 years. Results from these studies have been published in the Journal of Neurosurgery Spine. In February 2025, we announced that we were initiating our DOSED (Delivery of Oligodendrocyte Progenitor Cells for Spinal Cord Injury: Evaluation of a Novel Device) clinical study to evaluate the safety and utility of a novel spinal cord delivery device designed to administer OPC1 to the spinal parenchyma in both subacute (between 21 to 42 days following injury) and chronic (between 1 to 5 years following injury) SCI participants. The DOSED study is the first study of OPC1 to include participants with a chronic injury, a condition which comprises the majority of individuals affected by SCI. In August 2025, we announced the dosing of the first participant in the DOSED study. We expect DOSED will enable future subsequent studies aimed to demonstrate OPC1’s ability to impact functional outcomes</w:t>
      </w:r>
      <w:r>
        <w:rPr>
          <w:rFonts w:ascii="Aptos;sans-serif" w:hAnsi="Aptos;sans-serif"/>
          <w:color w:val="000000"/>
          <w:sz w:val="20"/>
        </w:rPr>
        <w:t>.</w:t>
      </w:r>
      <w:r>
        <w:rPr>
          <w:rFonts w:ascii="Times New Roman" w:hAnsi="Times New Roman"/>
          <w:color w:val="000000"/>
          <w:sz w:val="20"/>
        </w:rPr>
        <w:t xml:space="preserve"> In July 2025, the first chronic SCI participant (a neurologically complete SCI injury (American Spinal Injury Association Impairment Scale [AIS] grade A), with a single neurological level of injury (NLI) from levels T1 to T10) was treated in the DOSED study at UC San Diego Health, and the novel delivery system successfully administered a one-time injection of OPC1. No significant safety events have been reported through sixty days post treatment in the first treated chronic SCI participant in the DOSED study. OPC1 clinical development has been supported in part by a $14.3 million grant from the California Institute for Regenerative Medicine (“CIRM”) and we have applied for approximately $7.0 million of additional funding from CIRM to support continued clinical development of OPC1 for the treatment of SCI. Subsequent to the submission of our grant application and as part of the standard grants review process, Lineage has provided additional information in support of its application to CIRM in response to request from CIRM representatives. CIRM continues to review Lineage’s application for a clinical grant to support the DOSED study and Lineage believes that CIRM will make a decision as to the grants it will award in December 2025. No assurances can be given that Lineage will be awarded a grant or, if awarded, the amount or timing thereof.. See “Item 1. Business - Grants from Government Entities – Grants from the California Institute for Regenerative Medicine,” in the 2024 10K.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second most advanced internally owned product candidate is ReSonance (ANP1), an allogeneic auditory neuron progenitor cell transplant, currently in preclinical development for the treatment of sensorineural hearing loss. In August 2025, we announced that we entered into a research collaboration agreement with WDI to advance the preclinical development of ReSonance for the treatment of hearing loss. WDI will fund up to $12 million in research collaboration costs over the approximate three-year term of the agreement. The main objective of the agreement is for the parties to complete a preclinical phase achieving readiness to potentially progress to human clinical trials under one or more separate clinical agreements, the terms of which would be negotiated in good faith before the expiration of the agreement. Development activities will be jointly conducted and managed by Lineage and scientists from Eriksholm Research Centre, part of Oticon A/S, which is a subsidiary of the Demant Group. See Note 13 (Commitments and Contingencies)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Scalable, cost-effective manufacturing, which we believe is a significant hurdle to overcome for cell therapy companies, can help make cell therapies available and affordable for wider patient populations. We previously completed a current Good Manufacturing Practice, or cGMP, production run for each of OpRegen and OPC1, two of our product candidates, from a customized, two-tiered cGMP compliant and genetically stable cell banking system. A vial from a stable cGMP master cell bank created from a single, well-characterized pluripotent cell line can be the source of a cGMP working cell bank, which thereafter generates hundreds or thousands of vials of a final cell-based product comprised of millions of cells per vial. In total, we have to date produced unique cGMP banking systems for three of our product candidates, the third being ReSonance. We expect the cell banks we have manufactured will support a production capability exceeding the reasonably foreseeable number of patients with the conditions that OpRegen and OPC1 are currently intended to address (each of which we currently expect to be a single-administration dose) without requiring the manufacture of a new starting master cell bank. We therefore believe we have reduced to practice and demonstrated a reproducible and scalable cGMP cell therapy production capability with the purity, potency, and production scale implied by an “off the shelf” allogeneic product. We plan to leverage this expertise to produce a cost-effective, scalable, and consistent supply of allogeneic cell transplant product candidates for ourselves and others, including for indications requiring large cell doses or with large patient populations.</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to date primarily focused on neurological and ophthalmic cell types, the pluripotent cells which our platform is based on are capable of becoming any of the cell types of the human body. We currently maintain a list of additional undisclosed product candidates which may be considered for development or partnership in the future, and which altogether cover a range of therapeutic areas and conditions. Generally, these product candidates are based on the same platform technology and employ a similar guided cell differentiation and transplant approach as the product candidates discussed above, but in some cases may also include genetic modifications designed to enhance efficacy and/or safety profiles. We may elect not to develop, terminate the development of, or not partner any of these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through clinical development, we also may seek to create value from our intellectual property or related technologies and capabilities, through licensing collaborations and/or other strategic transactions.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interim financial statements were prepared in accordance with generally accepted accounting principles in the United States (“GAAP”) for interim financial information and with the instructions to Form 10-Q and Article 8 of Regulation S-X. In accordance with those rules and regulations, certain information and footnote disclosures normally included in comprehensive consolidated financial statements have been condensed or omitted. The condensed consolidated balance sheet as of December 31, 2024 was derived from the audited consolidated financial statements at that date but does not include all the information and footnotes required by GAAP. These accompanying unaudited condensed consolidated interim financial statements should be read in conjunction with the audited consolidated financial statements and notes thereto included in the 2024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unaudited condensed consolidated interim financial statements, in the opinion of management, include all adjustments, consisting only of normal recurring adjustments, necessary for a fair presentation of our financial condition and results of operations. The condensed consolidated interim results of operations are not necessarily indicative of the results to be expected for any other interim period or for the entire year.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Segments and Principles of Consolidation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chief operating decision maker (“CODM”), our Chief Executive Officer, manages our business activities as a single operating and reportable segment at the consolidated level. The information in our condensed consolidated interim financial statements is the only financial information regularly provided to our CODM and there are no other significant expense categories regularly reviewed by our CODM. Accordingly, our CODM uses consolidated net loss to measure segment profit or loss, allocate resources and assess performance. Further, our CODM reviews and utilizes revenue and functional expenses (cost of royalties, research and development, and general and administrative) at the consolidated level to manage our operations. Other segment items included in consolidated net loss are interest income, loss on marketable equity securities, change in fair value of warrant liability, foreign currency transaction loss, and other income (expense), and the provision for income tax benefit, which are reflected in the condensed consolidated statements of comprehensive income.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reflects Lineage’s ownership, directly or through one or more subsidiaries, of the outstanding shares of its operating subsidiaries as of September 30, 2025:</w:t>
      </w:r>
    </w:p>
    <w:p>
      <w:pPr>
        <w:pStyle w:val="TextBody"/>
        <w:bidi w:val="0"/>
        <w:jc w:val="both"/>
        <w:rPr/>
      </w:pPr>
      <w:r>
        <w:rPr/>
        <w:t> </w:t>
      </w:r>
    </w:p>
    <w:tbl>
      <w:tblPr>
        <w:tblW w:w="9472" w:type="dxa"/>
        <w:jc w:val="left"/>
        <w:tblInd w:w="0" w:type="dxa"/>
        <w:tblLayout w:type="fixed"/>
        <w:tblCellMar>
          <w:top w:w="28" w:type="dxa"/>
          <w:left w:w="28" w:type="dxa"/>
          <w:bottom w:w="28" w:type="dxa"/>
          <w:right w:w="28" w:type="dxa"/>
        </w:tblCellMar>
      </w:tblPr>
      <w:tblGrid>
        <w:gridCol w:w="3211"/>
        <w:gridCol w:w="146"/>
        <w:gridCol w:w="3961"/>
        <w:gridCol w:w="146"/>
        <w:gridCol w:w="886"/>
        <w:gridCol w:w="146"/>
        <w:gridCol w:w="976"/>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Subsidiary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Field of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Lineage </w:t>
              <w:br/>
              <w:t>Ownership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Cell Cure Neurosciences Ltd. ("CCN")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of Lineage’s product candidates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94%</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 Cell International Pte. Ltd. ("ESI")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clinical grade cell lines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Includes shares owned by Lineage and ESI.</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material intercompany accounts and transactions have been eliminated in consolidation. Lineage consolidates its direct and indirect wholly owned or majority-owned subsidiaries because Lineage has the ability to control their operating and financial decisions and policies through its ownership, and the noncontrolling interest is reflected as a separate element of shareholders’ equity on Lineage’s unaudited 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30, 2025, we had $40.5 million of cash, cash equivalents and marketable securities. Based on our current operating plan, we believe that our cash, cash equivalents and marketable securities, will be sufficient to enable us to carry out our planned operations through at least twelve months from the issuance date of our accompanying condensed consolidated interim financial statements.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incurred significant operating losses and have funded our operations primarily through the issuance of equity securities, the sale of common stock of our former subsidiaries, receipt of proceeds from research grants, revenues from collaborations, royalties from product sales, and sales of research products and services.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2025, $38.7 million remained available for sale under our at-the-market offering program (“ATM”), and we may receive up to $35.6 million in gross proceeds upon the full cash exercise of the remaining outstanding OpRegen clinical milestone-linked warrants. However, no assurances can be given as to the extent to which warrants will be exercised. See Note 10 (Shareholders’ Equity) for additional information.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Additional Capital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obligations primarily consist of obligations to licensors under license agreements, obligations related to grants received from government entities, including the Israel Innovation Authority (“IIA”), obligations under contracts with vendors who provide research services and purchase commitments with suppliers.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our obligations related to grants received from government entities require us to make future payments, such as sublicense fees, milestone payments, redemption fees, royalty fees and patent maintenance fees. Sublicense fees are payable to licensors or government entities when we sublicense the applicable intellectual property to third parties; the fees are based on a percentage of the license-related revenue we receive from sublicensees. Milestone payments, including those related to the Roche Agreement, are due to licensors or government entities upon achievement of commercial, development and regulatory milestones. Redemption fees due to the IIA under the Innovation Law are due upon receipt of milestone payments and royalties received under the Roche Agreement. See Note 13 (Commitments and Contingencies) for additional information. Royalties, including those related to royalties we may receive under the Roche Agreement, are payable to licensors or government entities based on a percentage of net sales of licensed products. Patent maintenance fees are payable to licensors as reimbursement for the cost of maintaining license patents. Due to the contingent nature of the payments, the amounts and timing of payments to licensors under our in-license agreements are uncertain and may fluctuate significantly from period to period. As of September 30, 2025, we had not included these commitments on our consolidated balance sheet because the achievement of events that would trigger our payment obligations and the timing thereof were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sz w:val="20"/>
        </w:rPr>
      </w:pPr>
      <w:r>
        <w:rPr>
          <w:rFonts w:ascii="Times New Roman" w:hAnsi="Times New Roman"/>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describe our significant accounting policies in Note 2 to the consolidated financial statements in Item 8 of the 2024 10-K. There have been no changes to our significant accounting policies during the nine months ended September 30, 2025.</w:t>
      </w:r>
    </w:p>
    <w:p>
      <w:pPr>
        <w:pStyle w:val="TextBody"/>
        <w:bidi w:val="0"/>
        <w:spacing w:before="360" w:after="283"/>
        <w:jc w:val="both"/>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2023, the FASB issued ASU 2023-07, Segment Reporting (Topic 280): Improvements to Reportable Segment Disclosures (“ASU 2023-07”). ASU 2023-07 expands disclosures about a public entity’s reportable segments and requires more enhanced information about a reportable segment’s expenses, interim segment profit or loss, and how a public entity’s chief operating decision maker uses reported segment profit or loss information in assessing segment performance and allocating resources. ASU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2023-07 is effective for fiscal years beginning after December 15, 2023 and interim periods within fiscal years beginning after December 15, 2024 and its adoption did not have a significant impact on our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ASU 2024-03, Disaggregation of Income Statement Expenses (Subtopic 220-40): Disaggregation of Income Statement Expenses (“ASU 2024-03”). The purpose of ASU 2024-03 is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(such as cost of royalties, SG&amp;A, and research and development) ASU 2024-03 is effective for fiscal years beginning after December 15, 2026 and interim periods within fiscal years beginning after December 15, 2027. Early adoption is permitted. We are currently assessing the impact that this new guidance will have on our consolidated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2023, the FASB issued ASU 2023-09, Income Taxes (Topic 740) - Improvements to Income Tax Disclosures. The new standard requires a company to expand its existing income tax disclosures, specifically related to the rate reconciliation and income taxes paid. The standard is effective for annual periods beginning in fiscal year 2025 and will be applied prospectively, but retrospective application is permitted. We are currently evaluating the impact of ASU 2023-09 on the consolidated financial statements and related disclosures.</w:t>
      </w:r>
    </w:p>
    <w:p>
      <w:pPr>
        <w:pStyle w:val="TextBody"/>
        <w:bidi w:val="0"/>
        <w:spacing w:before="360" w:after="283"/>
        <w:jc w:val="both"/>
        <w:rPr>
          <w:rFonts w:ascii="Times New Roman" w:hAnsi="Times New Roman"/>
          <w:sz w:val="20"/>
        </w:rPr>
      </w:pPr>
      <w:r>
        <w:rPr>
          <w:rFonts w:ascii="Times New Roman" w:hAnsi="Times New Roman"/>
          <w:b/>
          <w:color w:val="000000"/>
          <w:sz w:val="20"/>
        </w:rPr>
        <w:t>3. Revenue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disaggregated revenues were as follows for the periods presented (in thousands):</w:t>
      </w:r>
    </w:p>
    <w:p>
      <w:pPr>
        <w:pStyle w:val="TextBody"/>
        <w:bidi w:val="0"/>
        <w:jc w:val="left"/>
        <w:rPr/>
      </w:pPr>
      <w:r>
        <w:rPr/>
        <w:t> </w:t>
      </w:r>
    </w:p>
    <w:tbl>
      <w:tblPr>
        <w:tblW w:w="8947" w:type="dxa"/>
        <w:jc w:val="left"/>
        <w:tblInd w:w="0" w:type="dxa"/>
        <w:tblLayout w:type="fixed"/>
        <w:tblCellMar>
          <w:top w:w="28" w:type="dxa"/>
          <w:left w:w="28" w:type="dxa"/>
          <w:bottom w:w="28" w:type="dxa"/>
          <w:right w:w="28" w:type="dxa"/>
        </w:tblCellMar>
      </w:tblPr>
      <w:tblGrid>
        <w:gridCol w:w="3916"/>
        <w:gridCol w:w="146"/>
        <w:gridCol w:w="249"/>
        <w:gridCol w:w="674"/>
        <w:gridCol w:w="172"/>
        <w:gridCol w:w="172"/>
        <w:gridCol w:w="249"/>
        <w:gridCol w:w="674"/>
        <w:gridCol w:w="146"/>
        <w:gridCol w:w="146"/>
        <w:gridCol w:w="240"/>
        <w:gridCol w:w="650"/>
        <w:gridCol w:w="166"/>
        <w:gridCol w:w="166"/>
        <w:gridCol w:w="240"/>
        <w:gridCol w:w="650"/>
        <w:gridCol w:w="2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 under collaborative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Upfront license fees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collaborative revenue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 under collaborative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Royalties, license and other revenues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All of the upfront license fee revenue recognized each period was included within deferred revenue as contract liabilities at the beginning of each period.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both"/>
        <w:rPr>
          <w:rFonts w:ascii="Times New Roman" w:hAnsi="Times New Roman"/>
          <w:sz w:val="22"/>
        </w:rPr>
      </w:pPr>
      <w:r>
        <w:rPr>
          <w:rFonts w:ascii="Times New Roman" w:hAnsi="Times New Roman"/>
          <w:color w:val="000000"/>
          <w:sz w:val="20"/>
        </w:rPr>
        <w:t>None of the other collaborative revenue recognized in 2025 was included within deferred revenues as contract liabilities as of the beginning of the three and nine months ended September 30, 2025.</w:t>
      </w:r>
      <w:r>
        <w:rPr>
          <w:rFonts w:ascii="Times New Roman" w:hAnsi="Times New Roman"/>
          <w:color w:val="000000"/>
          <w:sz w:val="22"/>
        </w:rPr>
        <w:t xml:space="preserve">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40" w:after="283"/>
        <w:jc w:val="both"/>
        <w:rPr>
          <w:rFonts w:ascii="Times New Roman" w:hAnsi="Times New Roman"/>
          <w:sz w:val="22"/>
        </w:rPr>
      </w:pPr>
      <w:r>
        <w:rPr>
          <w:rFonts w:ascii="Times New Roman" w:hAnsi="Times New Roman"/>
          <w:color w:val="000000"/>
          <w:sz w:val="20"/>
        </w:rPr>
        <w:t>Of the royalties, license and other revenues recognized each period, $28,000</w:t>
      </w:r>
      <w:r>
        <w:rPr>
          <w:rFonts w:ascii="Times New Roman" w:hAnsi="Times New Roman"/>
          <w:color w:val="000000"/>
          <w:sz w:val="22"/>
        </w:rPr>
        <w:t xml:space="preserve"> </w:t>
      </w:r>
      <w:r>
        <w:rPr>
          <w:rFonts w:ascii="Times New Roman" w:hAnsi="Times New Roman"/>
          <w:color w:val="000000"/>
          <w:sz w:val="20"/>
        </w:rPr>
        <w:t>and $30,000</w:t>
      </w:r>
      <w:r>
        <w:rPr>
          <w:rFonts w:ascii="Times New Roman" w:hAnsi="Times New Roman"/>
          <w:color w:val="000000"/>
          <w:sz w:val="22"/>
        </w:rPr>
        <w:t xml:space="preserve"> </w:t>
      </w:r>
      <w:r>
        <w:rPr>
          <w:rFonts w:ascii="Times New Roman" w:hAnsi="Times New Roman"/>
          <w:color w:val="000000"/>
          <w:sz w:val="20"/>
        </w:rPr>
        <w:t xml:space="preserve">was included within deferred revenues as contract liabilities as of January 1, 2025 and 2024,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recognizing the $50.0 million upfront payment under the Roche Agreement utilizing an input method of costs incurred over total estimated costs to be incurred. During each reporting period, we update our total estimated collaboration costs, and any resulting adjustments are recorded on a cumulative basis which would affect revenue and deferred revenue in the period of adjustment. We believe the input methodology represents the most appropriate measure of progress towards satisfaction of the identified performance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contracts with customers, including collaboration partners which are within the scope of ASU 2014-09 – Revenue from Contracts with Customers (Topic 606), the aggregate amount of the transaction price allocated to remaining performance obligations as of September 30, 2025 was $19.8 million, of which $16.2 million is reported as deferred revenues. The $19.8 million is expected to be substantially recognized as revenue by December 2026.</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Accounts receivable, net, and deferred revenues (contract liabilities) from contracts with customers, including collaboration partners, consisted of the following (in thousands):</w:t>
      </w:r>
    </w:p>
    <w:p>
      <w:pPr>
        <w:pStyle w:val="TextBody"/>
        <w:bidi w:val="0"/>
        <w:jc w:val="both"/>
        <w:rPr/>
      </w:pPr>
      <w:r>
        <w:rPr/>
        <w:t> </w:t>
      </w:r>
    </w:p>
    <w:tbl>
      <w:tblPr>
        <w:tblW w:w="7405" w:type="dxa"/>
        <w:jc w:val="left"/>
        <w:tblInd w:w="0" w:type="dxa"/>
        <w:tblLayout w:type="fixed"/>
        <w:tblCellMar>
          <w:top w:w="28" w:type="dxa"/>
          <w:left w:w="28" w:type="dxa"/>
          <w:bottom w:w="28" w:type="dxa"/>
          <w:right w:w="28" w:type="dxa"/>
        </w:tblCellMar>
      </w:tblPr>
      <w:tblGrid>
        <w:gridCol w:w="4006"/>
        <w:gridCol w:w="146"/>
        <w:gridCol w:w="324"/>
        <w:gridCol w:w="1041"/>
        <w:gridCol w:w="146"/>
        <w:gridCol w:w="146"/>
        <w:gridCol w:w="310"/>
        <w:gridCol w:w="995"/>
        <w:gridCol w:w="2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 -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 - beginning of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 -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Contract assets, which consist of revenue recognized and performance obligations satisfied or partially satisfied in advance of customer billing were $549,000 and zero as of September 30, 2025, and December 31, 2024, respectively, and was included within prepaid expenses and other current assets on the condensed consolidated balance sheet. There were no contract assets at the beginning of the nine months ending September 30, 2025 or the twelve months ending December 31,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fair value of marketable securities held by the Company and their location in the Company’s condensed consolidated balance sheet (in thousands):</w:t>
      </w:r>
    </w:p>
    <w:p>
      <w:pPr>
        <w:pStyle w:val="TextBody"/>
        <w:bidi w:val="0"/>
        <w:spacing w:before="120" w:after="283"/>
        <w:jc w:val="left"/>
        <w:rPr/>
      </w:pPr>
      <w:r>
        <w:rPr/>
        <w:t> </w:t>
      </w:r>
    </w:p>
    <w:tbl>
      <w:tblPr>
        <w:tblW w:w="7630" w:type="dxa"/>
        <w:jc w:val="left"/>
        <w:tblInd w:w="0" w:type="dxa"/>
        <w:tblLayout w:type="fixed"/>
        <w:tblCellMar>
          <w:top w:w="28" w:type="dxa"/>
          <w:left w:w="28" w:type="dxa"/>
          <w:bottom w:w="28" w:type="dxa"/>
          <w:right w:w="28" w:type="dxa"/>
        </w:tblCellMar>
      </w:tblPr>
      <w:tblGrid>
        <w:gridCol w:w="3756"/>
        <w:gridCol w:w="146"/>
        <w:gridCol w:w="367"/>
        <w:gridCol w:w="1178"/>
        <w:gridCol w:w="146"/>
        <w:gridCol w:w="146"/>
        <w:gridCol w:w="357"/>
        <w:gridCol w:w="1143"/>
        <w:gridCol w:w="391"/>
      </w:tblGrid>
      <w:tr>
        <w:trPr/>
        <w:tc>
          <w:tcPr>
            <w:tcW w:w="3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Included within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Marketable Debt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the available-for-sale debt securities classified within cash and cash equivalents and within marketable securities in the Company’s condensed consolidated balance sheet for the periods presented (in thousands):</w:t>
      </w:r>
    </w:p>
    <w:p>
      <w:pPr>
        <w:pStyle w:val="TextBody"/>
        <w:bidi w:val="0"/>
        <w:jc w:val="both"/>
        <w:rPr/>
      </w:pPr>
      <w:r>
        <w:rPr/>
        <w:t> </w:t>
      </w:r>
    </w:p>
    <w:tbl>
      <w:tblPr>
        <w:tblW w:w="828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675"/>
        <w:gridCol w:w="675"/>
        <w:gridCol w:w="146"/>
        <w:gridCol w:w="146"/>
        <w:gridCol w:w="522"/>
        <w:gridCol w:w="858"/>
        <w:gridCol w:w="14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286" w:type="dxa"/>
        <w:jc w:val="left"/>
        <w:tblInd w:w="0" w:type="dxa"/>
        <w:tblLayout w:type="fixed"/>
        <w:tblCellMar>
          <w:top w:w="28" w:type="dxa"/>
          <w:left w:w="28" w:type="dxa"/>
          <w:bottom w:w="28" w:type="dxa"/>
          <w:right w:w="28" w:type="dxa"/>
        </w:tblCellMar>
      </w:tblPr>
      <w:tblGrid>
        <w:gridCol w:w="2111"/>
        <w:gridCol w:w="146"/>
        <w:gridCol w:w="296"/>
        <w:gridCol w:w="949"/>
        <w:gridCol w:w="146"/>
        <w:gridCol w:w="146"/>
        <w:gridCol w:w="675"/>
        <w:gridCol w:w="675"/>
        <w:gridCol w:w="146"/>
        <w:gridCol w:w="146"/>
        <w:gridCol w:w="522"/>
        <w:gridCol w:w="858"/>
        <w:gridCol w:w="146"/>
        <w:gridCol w:w="146"/>
        <w:gridCol w:w="211"/>
        <w:gridCol w:w="676"/>
        <w:gridCol w:w="291"/>
      </w:tblGrid>
      <w:tr>
        <w:trPr/>
        <w:tc>
          <w:tcPr>
            <w:tcW w:w="2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Company has not recognized an allowance for credit losses on any securities in an unrealized loss position as of September 30, 2025 or December 31, 2024. The Company believes that any individual unrealized losses represent temporary declines resulting from changes in interest rates, and do not reflect a deterioration of the credit quality of the issuer. The Company does not intend to sell these securities, nor anticipate that these securities will be required to be sold before recovery.</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2025, the amortized cost and estimated fair value of the Company’s available-for-sale debt securities by contractual maturity are shown below (in thousands):</w:t>
      </w:r>
    </w:p>
    <w:p>
      <w:pPr>
        <w:pStyle w:val="TextBody"/>
        <w:bidi w:val="0"/>
        <w:jc w:val="both"/>
        <w:rPr/>
      </w:pPr>
      <w:r>
        <w:rPr/>
        <w:t> </w:t>
      </w:r>
    </w:p>
    <w:tbl>
      <w:tblPr>
        <w:tblW w:w="7255" w:type="dxa"/>
        <w:jc w:val="left"/>
        <w:tblInd w:w="0" w:type="dxa"/>
        <w:tblLayout w:type="fixed"/>
        <w:tblCellMar>
          <w:top w:w="28" w:type="dxa"/>
          <w:left w:w="28" w:type="dxa"/>
          <w:bottom w:w="28" w:type="dxa"/>
          <w:right w:w="28" w:type="dxa"/>
        </w:tblCellMar>
      </w:tblPr>
      <w:tblGrid>
        <w:gridCol w:w="3631"/>
        <w:gridCol w:w="146"/>
        <w:gridCol w:w="296"/>
        <w:gridCol w:w="949"/>
        <w:gridCol w:w="146"/>
        <w:gridCol w:w="146"/>
        <w:gridCol w:w="392"/>
        <w:gridCol w:w="1258"/>
        <w:gridCol w:w="2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debt securities maturing: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Marketable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Marketable equity securities with readily determinable fair values are reported at fair value with unrealized gains and losses related to mark-to-market adjustments included in income. Lineage’s marketable equity securities are classified as trading securities and for the periods reported have consisted of shares of common stock of OncoCyte Corporation (“OCX”) and of Hadasit Bio-Holdings Ltd. (“HBL”). Lineage has not owned any shares of OCX since June 30, 2024. The value of marketable equity securities is based on the closing price of OCX and HBL common stock on the last trading day of the applicable quarter.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represents the realized and unrealized loss on marketable equity securities for the periods presented (in thousands):</w:t>
      </w:r>
    </w:p>
    <w:p>
      <w:pPr>
        <w:pStyle w:val="TextBody"/>
        <w:bidi w:val="0"/>
        <w:jc w:val="both"/>
        <w:rPr/>
      </w:pPr>
      <w:r>
        <w:rPr/>
        <w:t> </w:t>
      </w:r>
    </w:p>
    <w:tbl>
      <w:tblPr>
        <w:tblW w:w="9636" w:type="dxa"/>
        <w:jc w:val="left"/>
        <w:tblInd w:w="0" w:type="dxa"/>
        <w:tblLayout w:type="fixed"/>
        <w:tblCellMar>
          <w:top w:w="28" w:type="dxa"/>
          <w:left w:w="28" w:type="dxa"/>
          <w:bottom w:w="28" w:type="dxa"/>
          <w:right w:w="28" w:type="dxa"/>
        </w:tblCellMar>
      </w:tblPr>
      <w:tblGrid>
        <w:gridCol w:w="4666"/>
        <w:gridCol w:w="146"/>
        <w:gridCol w:w="328"/>
        <w:gridCol w:w="539"/>
        <w:gridCol w:w="227"/>
        <w:gridCol w:w="227"/>
        <w:gridCol w:w="328"/>
        <w:gridCol w:w="539"/>
        <w:gridCol w:w="166"/>
        <w:gridCol w:w="146"/>
        <w:gridCol w:w="306"/>
        <w:gridCol w:w="502"/>
        <w:gridCol w:w="241"/>
        <w:gridCol w:w="212"/>
        <w:gridCol w:w="306"/>
        <w:gridCol w:w="546"/>
        <w:gridCol w:w="211"/>
      </w:tblGrid>
      <w:tr>
        <w:trPr/>
        <w:tc>
          <w:tcPr>
            <w:tcW w:w="4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(loss) on marketable equity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Loss recognized in earnings on marketable equity </w:t>
              <w:br/>
              <w:t>   securities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Unrealized gain (loss) recognized on marketable equity </w:t>
              <w:br/>
              <w:t>   securities held at end of period,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5. 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including finance leases, are stated at cost, net of accumulated depreciation and amortization. The cost of property and equipment is depreciated or amortized using the straight-line method over the estimated useful life of the asset, ranging from 3 to 10 years. Finance lease right-of-use assets are amortized over the lease term. Leasehold improvements are amortized over the shorter of the useful life or the lease term.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September 30, 2025 and December 31, 2024, property and equipment, net was comprised of the following (in thousands):</w:t>
      </w:r>
    </w:p>
    <w:p>
      <w:pPr>
        <w:pStyle w:val="TextBody"/>
        <w:bidi w:val="0"/>
        <w:jc w:val="left"/>
        <w:rPr/>
      </w:pPr>
      <w:r>
        <w:rPr/>
        <w:t> </w:t>
      </w:r>
    </w:p>
    <w:tbl>
      <w:tblPr>
        <w:tblW w:w="7505" w:type="dxa"/>
        <w:jc w:val="left"/>
        <w:tblInd w:w="0" w:type="dxa"/>
        <w:tblLayout w:type="fixed"/>
        <w:tblCellMar>
          <w:top w:w="28" w:type="dxa"/>
          <w:left w:w="28" w:type="dxa"/>
          <w:bottom w:w="28" w:type="dxa"/>
          <w:right w:w="28" w:type="dxa"/>
        </w:tblCellMar>
      </w:tblPr>
      <w:tblGrid>
        <w:gridCol w:w="3691"/>
        <w:gridCol w:w="146"/>
        <w:gridCol w:w="386"/>
        <w:gridCol w:w="1159"/>
        <w:gridCol w:w="166"/>
        <w:gridCol w:w="146"/>
        <w:gridCol w:w="376"/>
        <w:gridCol w:w="1124"/>
        <w:gridCol w:w="31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Depreciation and amortization expense was $178,000 and $141,000 for the three months ended September 30, 2025 and 2024, respectively, and $513,000 and $436,000 for the nine months ended September 30, 2025 and 2024, respectively. These amounts include amortization expense for right-of-use finance lease assets of $15,000 and $13,000 for the three months ended September 30, 2025 and 2024, respectively, and $43,000 and $41,000 for the nine months ended September 30, 2025 and 2024, respectively.</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6. Goodwill and Intangible Assets,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September 30, 2025 and December 31, 2024, goodwill and intangible assets, net consisted of the following (in thousands):</w:t>
      </w:r>
    </w:p>
    <w:p>
      <w:pPr>
        <w:pStyle w:val="TextBody"/>
        <w:bidi w:val="0"/>
        <w:jc w:val="both"/>
        <w:rPr/>
      </w:pPr>
      <w:r>
        <w:rPr/>
        <w:t> </w:t>
      </w:r>
    </w:p>
    <w:tbl>
      <w:tblPr>
        <w:tblW w:w="8440" w:type="dxa"/>
        <w:jc w:val="left"/>
        <w:tblInd w:w="0" w:type="dxa"/>
        <w:tblLayout w:type="fixed"/>
        <w:tblCellMar>
          <w:top w:w="28" w:type="dxa"/>
          <w:left w:w="28" w:type="dxa"/>
          <w:bottom w:w="28" w:type="dxa"/>
          <w:right w:w="28" w:type="dxa"/>
        </w:tblCellMar>
      </w:tblPr>
      <w:tblGrid>
        <w:gridCol w:w="4646"/>
        <w:gridCol w:w="146"/>
        <w:gridCol w:w="344"/>
        <w:gridCol w:w="1201"/>
        <w:gridCol w:w="166"/>
        <w:gridCol w:w="146"/>
        <w:gridCol w:w="334"/>
        <w:gridCol w:w="1166"/>
        <w:gridCol w:w="2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Goodwill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IPR&amp;D – OPC1 (from the Asterias Merger)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IPR&amp;D – VAC (from the Asterias Merger)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subject to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Acquired patents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Acquired royalty contracts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Accumulated amortization </w:t>
            </w: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Goodwill represents the excess of the purchase price over the fair value of the net tangible and identifiable intangible assets acquired and liabilities assumed in connection with our acquisition of Asterias Biotherapeutics, Inc. (“Asterias”) in March 2019 (the “Asterias Merger”). The Company conducted a qualitative goodwill assessment for the second quarter of 2025 and took into consideration the impairment of the VAC indefinite-lived intangible asset. After assessing the totality of relevant events and circumstances, there was no impairment to the goodwill carrying value as of June 30, 2025, and to date, the Company has not recognized any goodwill impairment.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Asterias had two IPR&amp;D intangible assets that were valued at $46.5 million as part of the purchase price allocation that was performed in connection with the Asterias Merger. The fair value of these assets at the acquisition date consisted of $31.7 million pertaining to the OPC1 program and $14.8 million pertaining to the VAC platform. As of June 30, 2025, the VAC platform was deemed to be abandoned. As the Company has abandoned the VAC platform and its related research and development efforts, and the IPR&amp;D asset has no alternative future use, the Company derecognized the intangible asset and recorded a non-cash pre-tax impairment charge during the quarter ending June 30, 2025 of $14.8 million, within total operating expenses of the condensed consolidated statement of operations. See Note 13 (Commitments and Contingencies) for additional information.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sz w:val="20"/>
        </w:rPr>
      </w:pPr>
      <w:r>
        <w:rPr>
          <w:rFonts w:ascii="Times New Roman" w:hAnsi="Times New Roman"/>
          <w:color w:val="000000"/>
          <w:sz w:val="20"/>
        </w:rPr>
        <w:t xml:space="preserve">Asterias had royalty cash flows under patent families it acquired from Geron Corporation. Such patent families are expected to continue to generate revenue, are not used in the other acquired IPR&amp;D intangible assets, and are considered to be separate intangible assets under ASC Topic 805, </w:t>
      </w:r>
      <w:r>
        <w:rPr>
          <w:rFonts w:ascii="Times New Roman" w:hAnsi="Times New Roman"/>
          <w:i/>
          <w:color w:val="000000"/>
          <w:sz w:val="20"/>
        </w:rPr>
        <w:t>Business Combinations</w:t>
      </w:r>
      <w:r>
        <w:rPr>
          <w:rFonts w:ascii="Times New Roman" w:hAnsi="Times New Roman"/>
          <w:color w:val="000000"/>
          <w:sz w:val="2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Lineage recognized $22,000 in amortization expense of intangible assets during the three months ended March 31, 2024 and did not recognize any amortization expense in subsequent quarters as the acquired patents and acquired royalty contracts were fully amortized as of March 31,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Accounts Payable and 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September 30, 2025 and December 31, 2024, accounts payable and accrued liabilities consist of the following (in thousands):</w:t>
      </w:r>
    </w:p>
    <w:p>
      <w:pPr>
        <w:pStyle w:val="TextBody"/>
        <w:bidi w:val="0"/>
        <w:jc w:val="both"/>
        <w:rPr/>
      </w:pPr>
      <w:r>
        <w:rPr/>
        <w:t> </w:t>
      </w:r>
    </w:p>
    <w:tbl>
      <w:tblPr>
        <w:tblW w:w="5755" w:type="dxa"/>
        <w:jc w:val="left"/>
        <w:tblInd w:w="0" w:type="dxa"/>
        <w:tblLayout w:type="fixed"/>
        <w:tblCellMar>
          <w:top w:w="28" w:type="dxa"/>
          <w:left w:w="28" w:type="dxa"/>
          <w:bottom w:w="28" w:type="dxa"/>
          <w:right w:w="28" w:type="dxa"/>
        </w:tblCellMar>
      </w:tblPr>
      <w:tblGrid>
        <w:gridCol w:w="1981"/>
        <w:gridCol w:w="146"/>
        <w:gridCol w:w="417"/>
        <w:gridCol w:w="1128"/>
        <w:gridCol w:w="146"/>
        <w:gridCol w:w="146"/>
        <w:gridCol w:w="403"/>
        <w:gridCol w:w="1097"/>
        <w:gridCol w:w="2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2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160" w:after="283"/>
        <w:jc w:val="both"/>
        <w:rPr>
          <w:rFonts w:ascii="Times New Roman" w:hAnsi="Times New Roman"/>
          <w:b/>
          <w:color w:val="000000"/>
          <w:sz w:val="20"/>
        </w:rPr>
      </w:pPr>
      <w:r>
        <w:rPr>
          <w:rFonts w:ascii="Times New Roman" w:hAnsi="Times New Roman"/>
          <w:b/>
          <w:color w:val="000000"/>
          <w:sz w:val="20"/>
        </w:rPr>
        <w:t>8. 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market participants at the measurement date. To increase the comparability of fair value measures, the following hierarchy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prioritizes the inputs to valuation methodologies used to measure fair value in accordance with (ASC 820-10-50), </w:t>
      </w:r>
      <w:r>
        <w:rPr>
          <w:rFonts w:ascii="Times New Roman" w:hAnsi="Times New Roman"/>
          <w:i/>
          <w:color w:val="000000"/>
          <w:sz w:val="20"/>
        </w:rPr>
        <w:t>Fair Value Measurements and Disclosures</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 Inputs to the valuation methodology are quoted prices for identical assets or liabilities in active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 Inputs to the valuation methodology that are unobservable. Unobservable inputs are those in which little or no market data exists, reflect those that a market participant would use, and are therefore determined using estimates and assumptions developed by the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transferred any instruments between the three levels of the fair value hierarchy.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value of cash, restricted cash, accounts receivable, accounts payable, and accrued liabilities approximate their respective fair values due to their relative short maturities. We measure our cash equivalents, marketable securities and our liability classified warrants at fair value on a recurring basis. The fair values of such assets and liabilities were as follows as of September 30, 2025 and December 31, 2024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0"/>
        <w:gridCol w:w="146"/>
        <w:gridCol w:w="279"/>
        <w:gridCol w:w="896"/>
        <w:gridCol w:w="146"/>
        <w:gridCol w:w="146"/>
        <w:gridCol w:w="529"/>
        <w:gridCol w:w="1696"/>
        <w:gridCol w:w="146"/>
        <w:gridCol w:w="146"/>
        <w:gridCol w:w="658"/>
        <w:gridCol w:w="1083"/>
        <w:gridCol w:w="146"/>
        <w:gridCol w:w="146"/>
        <w:gridCol w:w="402"/>
        <w:gridCol w:w="1294"/>
        <w:gridCol w:w="296"/>
      </w:tblGrid>
      <w:tr>
        <w:trPr/>
        <w:tc>
          <w:tcPr>
            <w:tcW w:w="2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45,171</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45,171</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75"/>
        <w:gridCol w:w="882"/>
        <w:gridCol w:w="146"/>
        <w:gridCol w:w="146"/>
        <w:gridCol w:w="531"/>
        <w:gridCol w:w="1701"/>
        <w:gridCol w:w="146"/>
        <w:gridCol w:w="146"/>
        <w:gridCol w:w="660"/>
        <w:gridCol w:w="1086"/>
        <w:gridCol w:w="146"/>
        <w:gridCol w:w="146"/>
        <w:gridCol w:w="457"/>
        <w:gridCol w:w="1241"/>
        <w:gridCol w:w="295"/>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Balance at </w:t>
              <w:b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Quoted Prices in Active Markets for Identical Assets </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Other Observable Inputs </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Unobservable Inputs </w:t>
              <w:br/>
              <w:t>(Level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Money market fund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debt securities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Marketable equity securities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Warrant liabilities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Included in cash and cash equivalents in the accompanying condensed consolidated balance sheet. Marketable debt securities purchased with an original maturity of three months or less have been classified as cash equivalents.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Lineage’s marketable equity securities include the shares of stock of OCX and HBL. Both securities have readily determinable fair values quoted on the NASDAQ or TASE (Level 1). These securities are measured at fair value and reported as current assets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on the accompanying condensed consolidated balance sheet based on the closing trading price of the security as of the date being presented. Lineage has not owned any shares of OCX since June 30, 2024.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Liability-classified warrants are valued at issuance, upon warrant exercise, and at each reporting period end date while the warrants are outstanding using a Black-Scholes option pricing model that maximizes the use of observable inputs and minimizes the use of unobservable inputs to the extent possible. Changes in the fair value of liability-classified warrants are recorded in the condensed consolidated statements of operations, and reflected as an adjustment to reconcile net loss to net cash used in operating activities in the condensed consolidated statements of cash flows. A significant increase or decrease in these Level 3 inputs could result in a significantly higher or lower fair value measurement.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a summary of changes to Level 3 fair value measurements for the nine months ended September 30, 2025 (in thousands):</w:t>
      </w:r>
    </w:p>
    <w:p>
      <w:pPr>
        <w:pStyle w:val="TextBody"/>
        <w:bidi w:val="0"/>
        <w:jc w:val="both"/>
        <w:rPr/>
      </w:pPr>
      <w:r>
        <w:rPr/>
        <w:t> </w:t>
      </w:r>
    </w:p>
    <w:tbl>
      <w:tblPr>
        <w:tblW w:w="6868" w:type="dxa"/>
        <w:jc w:val="left"/>
        <w:tblInd w:w="0" w:type="dxa"/>
        <w:tblLayout w:type="fixed"/>
        <w:tblCellMar>
          <w:top w:w="28" w:type="dxa"/>
          <w:left w:w="28" w:type="dxa"/>
          <w:bottom w:w="28" w:type="dxa"/>
          <w:right w:w="28" w:type="dxa"/>
        </w:tblCellMar>
      </w:tblPr>
      <w:tblGrid>
        <w:gridCol w:w="4931"/>
        <w:gridCol w:w="146"/>
        <w:gridCol w:w="357"/>
        <w:gridCol w:w="1143"/>
        <w:gridCol w:w="291"/>
      </w:tblGrid>
      <w:tr>
        <w:trPr/>
        <w:tc>
          <w:tcPr>
            <w:tcW w:w="4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Share</w:t>
              <w:br/>
              <w:t>Warrant Liabilities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Change in fair value of warrant liability recognized in the </w:t>
              <w:br/>
              <w:t>   consolidated statement of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Derivative warrant liability reclassified to share capital</w:t>
              <w:br/>
              <w:t>   upon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3 inputs - </w:t>
      </w:r>
      <w:r>
        <w:rPr>
          <w:rFonts w:ascii="Times New Roman" w:hAnsi="Times New Roman"/>
          <w:color w:val="000000"/>
          <w:sz w:val="20"/>
        </w:rPr>
        <w:t>Significant assumptions used in valuing the warrant liabilities for the nine months ended September 30, 2025, were as follows:</w:t>
      </w:r>
    </w:p>
    <w:p>
      <w:pPr>
        <w:pStyle w:val="TextBody"/>
        <w:bidi w:val="0"/>
        <w:jc w:val="both"/>
        <w:rPr/>
      </w:pPr>
      <w:r>
        <w:rPr/>
        <w:t> </w:t>
      </w:r>
    </w:p>
    <w:tbl>
      <w:tblPr>
        <w:tblW w:w="4523" w:type="dxa"/>
        <w:jc w:val="left"/>
        <w:tblInd w:w="0" w:type="dxa"/>
        <w:tblLayout w:type="fixed"/>
        <w:tblCellMar>
          <w:top w:w="28" w:type="dxa"/>
          <w:left w:w="28" w:type="dxa"/>
          <w:bottom w:w="28" w:type="dxa"/>
          <w:right w:w="28" w:type="dxa"/>
        </w:tblCellMar>
      </w:tblPr>
      <w:tblGrid>
        <w:gridCol w:w="2626"/>
        <w:gridCol w:w="146"/>
        <w:gridCol w:w="462"/>
        <w:gridCol w:w="1098"/>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Nine Months Ended </w:t>
              <w:b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71.78% - 77.23%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 - 4.25%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2.64 - 3.32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expected stock price volatility assumption is determined using historical volatility of the Company’s common stock. The risk-free interest rate assumption is based on the U.S. Treasury yield curve whose term is consistent with the expected term of the stock options. The expected dividend yield is 0% as the Company has not paid and does not anticipate paying dividends on its common stock. The expected term represents the period from the date of warrant issuance to May 21, 2028. At each reporting period end date, the expected term is reduced to reflect the remaining term of the warrants. Because the term of the warrants will expire earlier than May 21, 2028 upon the occurrence of a future event and subject to specified conditions being satisfied, the expected term could be shortened in subsequent periods. See Note 10 (Shareholders’ Equity) for additional information regarding the warrants.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February 2024 RDO (as such term is defined in Note 10 (Shareholders’ Equity)), we sold 6,730,770 common shares to Broadwood Partners, L.P. (“Broadwood Partners”), an affiliate of Neal Bradsher, a member of our board of directors, and 96,155 common shares to Don Bailey, a member of our board of directors at the time of the February 2024 RDO. See Note 10 (Shareholders’ Equity) for additional information regarding such offering.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2025, we sold 7,894,737 common shares and an accompanying warrant to purchase up to 7,894,737 common shares to Broadwood Partners in the November 2024 RDO (as such term is defined in Note 10 (Shareholders’ Equity)). See Note 10 (Shareholders’ Equity) for additional information regarding such offering.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10. Shareholders’ Equity</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Preferred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2,000,000 preferred shares. The preferred shares may be issued in one or more series as the Lineage board of directors may determine by resolution. The Lineage board of directors is authorized to fix the number of shares of any series of preferred shares and to determine or alter the rights, preferences, privileges, and restrictions granted to or imposed on the preferred shares as a class, or upon any wholly unissued series of any preferred shares. The Lineage board of directors may, by resolution, increase or decrease (but not below the number of shares of such series then outstanding) the number of shares of any series of preferred shares subsequent to the issue of shares of that series. There were no preferred shares issued or outstanding as of either September 30, 2025 or December 31, 2024.</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Common Shares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is authorized to issue 450,000,000 common shares. As of September 30, 2025 and December 31, 2024, there were 230,327,537 and 220,416,326 common shares issued and outstanding,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At-The-Market Offering Program</w:t>
      </w:r>
    </w:p>
    <w:p>
      <w:pPr>
        <w:pStyle w:val="TextBody"/>
        <w:bidi w:val="0"/>
        <w:spacing w:before="120" w:after="283"/>
        <w:jc w:val="both"/>
        <w:rPr>
          <w:rFonts w:ascii="Times New Roman" w:hAnsi="Times New Roman"/>
          <w:sz w:val="20"/>
        </w:rPr>
      </w:pPr>
      <w:r>
        <w:rPr>
          <w:rFonts w:ascii="Times New Roman" w:hAnsi="Times New Roman"/>
          <w:color w:val="000000"/>
          <w:sz w:val="20"/>
        </w:rPr>
        <w:t>In May 2020, Lineage entered into a Controlled Equity Offering</w:t>
      </w:r>
      <w:r>
        <w:rPr>
          <w:rFonts w:ascii="Times New Roman" w:hAnsi="Times New Roman"/>
          <w:color w:val="000000"/>
          <w:sz w:val="9"/>
        </w:rPr>
        <w:t>SM</w:t>
      </w:r>
      <w:r>
        <w:rPr>
          <w:rFonts w:ascii="Times New Roman" w:hAnsi="Times New Roman"/>
          <w:color w:val="000000"/>
          <w:sz w:val="20"/>
        </w:rPr>
        <w:t xml:space="preserve"> Sales Agreement (the “Prior Sales Agreement”) with Cantor Fitzgerald &amp; Co., as sales agent, pursuant to which Lineage could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2021, Lineage filed a prospectus supplement with the SEC in connection with the offer and sale of up to $64.1 million of common shares through the ATM program under the Prior Sales Agreement, which was updated, amended and supplemented by a prospectus supplement filed with the SEC on May 18, 2023 (the prospectus supplement filed in December 2021, as updated, amended and supplemented by the prospectus supplement filed in May 2023, the “Prior Prospectus Supplement”).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2024, Lineage terminated the Prior Sales Agreement and entered into a sales agreement (the “ATM Sales Agreement”) with B. Riley Securities, Inc., as sales agent (“Sales Agent”), under which Lineage may offer and sell its common shares from time to time through an ATM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March 2024, Lineage filed a prospectus supplement with the SEC in connection with the offer and sale of $40.00 million of common shares through the ATM program under the ATM Sales Agreement which was updated, amended and supplemented by a prospectus supplement filed with the SEC on May 14, 2024 in connection with the offer and sale of $39.97 million of common shares through the ATM program under the ATM Sales Agreement (the prospectus supplement filed in March 2024, as updated, amended and supplemented by the prospectus supplement filed in May 2024, the “2024 Prospectus Supplement”).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three and nine months ended September 30, 2025, 1.0 million common shares were sold under the ATM program at a weighted average price per share of $1.32 for gross proceeds of $1.3 million. During the three months ended September 30, 2024, no common shares were sold under the ATM program. During the nine months ended September 30, 2024, 56,000 common shares were sold under the ATM program at a weighted average price per share of $1.26 for gross proceeds of $70,000. As of September 30, 2025, $38.7 million remained available for sale under the 2024 Prospectus Supplement.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shares offered under the 2024 Prospectus Supplement are registered pursuant to Lineage’s effective shelf registration statement on Form S-3 (File No. 333-277758), which was filed with the SEC on March 7, 2024 and declared effective on May 14,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agreed to pay Sales Agent a commission of up to 3.0% of the aggregate gross proceeds from the sale of shares under the ATM Sales Agreement, reimburse its legal fees and disbursements, and provide Sales Agent with customary indemnification and contribution rights. The Sales Agreement may be terminated by Sales Agent or Lineage at any time upon notice to the other party, or by Sales Agent at any time in certain circumstances, including the occurrence of a material and adverse change in Lineage’s business or financial condition that makes it impractical or inadvisable to market the shares or to enforce contracts for the sale of the shares.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February 2024 Registered Direct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2024, Lineage entered into a stock purchase agreement with certain investors relating to the purchase and sale in a registered direct offering of an aggregate of 13,461,540 of its common shares (the “February 2024 RDO”). The offering price was $1.04</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 common share resulting in gross proceeds of $14.0 million. Finance related fees for this offering totaled approximately $0.1 million. See Note 9 (Related Party Transactions) for shares issued in this offering to a related party.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purchase and sale of our common shares in the February 2024 RDO was made pursuant to the registration statement on Form S-3 (File No. 333-254167), filed with the SEC on March 5, 2021 and declared effective on March 19, 2021.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November 2024 Registered Direct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19, 2024, we entered into securities purchase agreements with unaffiliated healthcare focused institutional investors and with Broadwood Partners relating to the purchase and sale in a registered direct offering of an aggregate of up to 39,473,688 of our common shares and accompanying warrants to purchase an aggregate of up to 39,473,688 of our common shares at a combined purchase price of $0.76 per common share and accompanying warrant (the “November 2024 RDO”).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21, 2024, we closed the first tranche of the offering and in connection therewith we issued to the unaffiliated healthcare focused institutional investors an aggregate of 31,578,951 common shares and accompanying warrants to purchase an aggregate of up to 31,578,951 of our common shares. The warrants have an exercise price of $0.91 per common share, have been exercisable since May 21, 2025 and will expire on the earlier of (a) May 21, 2028, and (b) the 90th day following the date of the public disclosure of the intent to advance OpRegen® (also known as RG6501) into a multi-center phase 2 or 3 clinical trial which includes a control or comparator arm, subject to extension if certain conditions, including equity conditions, some of which are outside of our control, are not satisfied. The warrants also provide for cashless exercise in certain circumstances, including if the shares issuable upon exercise thereof are not covered by an effective registration statement. The aggregate gross proceeds from this closing was $24 million, with $2.3 million for related issuance costs. The warrants issued at this closing had a fair value of approximately $7.9 million at issuance and are classified as warrant liabilities in the Company’s condensed consolidated interim financial statements. See Note 8 (Fair Value Measurements)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offering of the securities to Broadwood Partners in the November 2024 RDO was subject to obtaining shareholder approval to satisfy applicable NYSE American rules, which was obtained at our special meeting of shareholders on January 27, 2025. Following such meeting, we closed the second tranche of the offering and in connection therewith we issued to Broadwood Partners 7,894,737 common shares and an accompanying warrant to purchase up to 7,894,737 common shares. The terms of such warrant are substantially the same as those described above. The aggregate gross proceeds from this closing was $6.0 million, with approximately $0.6 million for related issuance costs. The warrant issued to Broadwood Partners at this closing had a fair value of approximately $2.1 million at issuance and is classified as a warrant liability in the Company’s condensed consolidated interim financial statements. See Note 8 (Fair Value Measurements) and Note 9 (Related Party Transactions)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entered into an engagement letter with H.C. Wainwright &amp; Co., LLC (“Wainwright”), pursuant to which Wainwright agreed to serve as our exclusive placement agent, on a reasonable best efforts basis, in connection with the November 2024 RDO. Pursuant to the engagement letter, we paid Wainwright a cash fee equal to 7.0% and a management fee equal to 1.0%, in each case, of the aggregate gross proceeds we received at each closing. In addition, at each closing, we issued to Wainwright (or its designees) warrants to purchase our common shares with terms that are substantially similar to those described above except that the warrants issued to Wainwright (or its designees) have an exercise price of $0.95 per share. In the aggregate we issued to Wainwright (or its designees) warrants to purchase up to 1,973,684 of our common shares. The warrants issued to Wainwright (or its designees) in connection with the first and second closings had a fair value of approximately $0.4 million and $0.1 million, respectively, at issuance and are classified as warrant liabilities in the Company’s condensed consolidated interim financial statements. See Note 8 (Fair Value Measurements)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purchase and sale of our common shares and accompanying warrants in the November 2024 RDO was made pursuant to the registration statement on Form S-3 (File No. 333-277758), filed with the SEC on March 7, 2024 and declared effective on May 14, 2024.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11. Stock-Based Awards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Equity Incentive Plan Awards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2021, our shareholders approved the Lineage Cell Therapeutics, Inc. 2021 Equity Incentive Plan, and our shareholders approved amendments to increase the number of common shares that may be issued thereunder by 19,500,000 in September 2023 and by an additional 19,500,000 in June 2025 (as amended to date, the “2021 Plan”). The 2021 Plan provides for the grant of incentive stock options, non-statutory stock options, stock appreciation rights, restricted stock awards, restricted stock units (“RSUs”), and other stock awards. Generally, all of our employees (including those of our affiliates), non-employee directors and consultants are eligible to participate in the 2021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Subject to adjustment for certain changes in our capitalization, the aggregate number of our common shares that may be issued under the 2021 Plan will not exceed the sum of (i) 54,000,000 shares and (ii) the number of shares subject to awards granted under the Lineage Cell Therapeutics Inc. 2012 Equity Incentive Plan (the “2012 Plan”) that were outstanding when the 2021 Plan initially became effective in 2021 and are not issued because such awards expire or otherwise terminate. As a result of the approval of the 2021 Plan by our shareholders in 2021, no additional awards will be granted under the 2012 Plan. As of September 30, 2025, there were 35,338,755 shares available for grant under the 2021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summary of activity under the 2021 Plan is as follows (in thousands, except per share amounts):</w:t>
      </w:r>
    </w:p>
    <w:p>
      <w:pPr>
        <w:pStyle w:val="TextBody"/>
        <w:bidi w:val="0"/>
        <w:jc w:val="both"/>
        <w:rPr/>
      </w:pPr>
      <w:r>
        <w:rPr/>
        <w:t> </w:t>
      </w:r>
    </w:p>
    <w:tbl>
      <w:tblPr>
        <w:tblW w:w="10199" w:type="dxa"/>
        <w:jc w:val="left"/>
        <w:tblInd w:w="0" w:type="dxa"/>
        <w:tblLayout w:type="fixed"/>
        <w:tblCellMar>
          <w:top w:w="28" w:type="dxa"/>
          <w:left w:w="28" w:type="dxa"/>
          <w:bottom w:w="28" w:type="dxa"/>
          <w:right w:w="28" w:type="dxa"/>
        </w:tblCellMar>
      </w:tblPr>
      <w:tblGrid>
        <w:gridCol w:w="3586"/>
        <w:gridCol w:w="146"/>
        <w:gridCol w:w="199"/>
        <w:gridCol w:w="926"/>
        <w:gridCol w:w="166"/>
        <w:gridCol w:w="146"/>
        <w:gridCol w:w="350"/>
        <w:gridCol w:w="775"/>
        <w:gridCol w:w="146"/>
        <w:gridCol w:w="146"/>
        <w:gridCol w:w="250"/>
        <w:gridCol w:w="800"/>
        <w:gridCol w:w="146"/>
        <w:gridCol w:w="146"/>
        <w:gridCol w:w="471"/>
        <w:gridCol w:w="1509"/>
        <w:gridCol w:w="2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br/>
              <w:t>(in thousands)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Options exercisable and expected to vest </w:t>
              <w:br/>
              <w:t>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5790" w:type="dxa"/>
        <w:jc w:val="left"/>
        <w:tblInd w:w="0" w:type="dxa"/>
        <w:tblLayout w:type="fixed"/>
        <w:tblCellMar>
          <w:top w:w="28" w:type="dxa"/>
          <w:left w:w="28" w:type="dxa"/>
          <w:bottom w:w="28" w:type="dxa"/>
          <w:right w:w="28" w:type="dxa"/>
        </w:tblCellMar>
      </w:tblPr>
      <w:tblGrid>
        <w:gridCol w:w="2641"/>
        <w:gridCol w:w="146"/>
        <w:gridCol w:w="261"/>
        <w:gridCol w:w="864"/>
        <w:gridCol w:w="166"/>
        <w:gridCol w:w="146"/>
        <w:gridCol w:w="397"/>
        <w:gridCol w:w="878"/>
        <w:gridCol w:w="2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RSUs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summary of activity of the 2012 Plan, and the 2018 inducement option (which was issued to a Lineage executive outside of Lineage’s equity plans), is as follows (in thousands, except per share amounts):</w:t>
      </w:r>
    </w:p>
    <w:p>
      <w:pPr>
        <w:pStyle w:val="TextBody"/>
        <w:bidi w:val="0"/>
        <w:jc w:val="both"/>
        <w:rPr/>
      </w:pPr>
      <w:r>
        <w:rPr/>
        <w:t> </w:t>
      </w:r>
    </w:p>
    <w:tbl>
      <w:tblPr>
        <w:tblW w:w="6115" w:type="dxa"/>
        <w:jc w:val="left"/>
        <w:tblInd w:w="0" w:type="dxa"/>
        <w:tblLayout w:type="fixed"/>
        <w:tblCellMar>
          <w:top w:w="28" w:type="dxa"/>
          <w:left w:w="28" w:type="dxa"/>
          <w:bottom w:w="28" w:type="dxa"/>
          <w:right w:w="28" w:type="dxa"/>
        </w:tblCellMar>
      </w:tblPr>
      <w:tblGrid>
        <w:gridCol w:w="3116"/>
        <w:gridCol w:w="146"/>
        <w:gridCol w:w="199"/>
        <w:gridCol w:w="926"/>
        <w:gridCol w:w="166"/>
        <w:gridCol w:w="146"/>
        <w:gridCol w:w="350"/>
        <w:gridCol w:w="775"/>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br/>
              <w:t xml:space="preserve">of Options </w:t>
              <w:br/>
              <w:t>Outstanding</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w:t>
              <w:br/>
              <w:t>Exercise Price</w:t>
              <w:br/>
              <w:t>(per share)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Options expired/forfeited/cancelled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6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expenses within the condensed consolidated statements of operations include stock-based compensation expense as follows (in thousands):</w:t>
      </w:r>
    </w:p>
    <w:p>
      <w:pPr>
        <w:pStyle w:val="TextBody"/>
        <w:bidi w:val="0"/>
        <w:jc w:val="both"/>
        <w:rPr/>
      </w:pPr>
      <w:r>
        <w:rPr/>
        <w:t> </w:t>
      </w:r>
    </w:p>
    <w:tbl>
      <w:tblPr>
        <w:tblW w:w="8782" w:type="dxa"/>
        <w:jc w:val="left"/>
        <w:tblInd w:w="0" w:type="dxa"/>
        <w:tblLayout w:type="fixed"/>
        <w:tblCellMar>
          <w:top w:w="28" w:type="dxa"/>
          <w:left w:w="28" w:type="dxa"/>
          <w:bottom w:w="28" w:type="dxa"/>
          <w:right w:w="28" w:type="dxa"/>
        </w:tblCellMar>
      </w:tblPr>
      <w:tblGrid>
        <w:gridCol w:w="3651"/>
        <w:gridCol w:w="146"/>
        <w:gridCol w:w="249"/>
        <w:gridCol w:w="674"/>
        <w:gridCol w:w="172"/>
        <w:gridCol w:w="172"/>
        <w:gridCol w:w="249"/>
        <w:gridCol w:w="674"/>
        <w:gridCol w:w="146"/>
        <w:gridCol w:w="146"/>
        <w:gridCol w:w="240"/>
        <w:gridCol w:w="650"/>
        <w:gridCol w:w="166"/>
        <w:gridCol w:w="166"/>
        <w:gridCol w:w="240"/>
        <w:gridCol w:w="650"/>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As of September 30, 2025, total unrecognized compensation costs related to unvested stock options and unvested RSUs under all equity plans, was $7.5 million, which is expected to be recognized as expense over a weighted average period of approximately 2.5 years for stock options and 0.8 years for RSUs.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Basic and diluted net income (loss) per share attributable to common shareholders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earnings per share is calculated by dividing net income or loss attributable to Lineage common shareholders by the weighted average number of common shares outstanding, net of stock options and RSUs, subject to repurchase by Lineage, if any, during the period. Diluted earnings per share is calculated by dividing the net income or loss attributable to Lineage common shareholders by the weighted average number of common shares outstanding, adjusted for the effects of potentially dilutive common shares issuable under outstanding stock options, restricted stock awards and warrants, using the treasury-stock method, convertible preferred stock, if any, using the if-converted method, and treasury stock held by subsidiaries,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nine months ended September 30, 2025 and 2024, Lineage reported a net loss attributable to common shareholders, and therefore, all potentially dilutive common shares were considered antidilutive for those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common share equivalents were excluded from the computation of diluted net loss per common share for the periods presented because including them would have been antidilutive (in thousands):</w:t>
      </w:r>
    </w:p>
    <w:p>
      <w:pPr>
        <w:pStyle w:val="TextBody"/>
        <w:bidi w:val="0"/>
        <w:spacing w:before="40" w:after="283"/>
        <w:jc w:val="both"/>
        <w:rPr/>
      </w:pPr>
      <w:r>
        <w:rPr/>
        <w:t> </w:t>
      </w:r>
    </w:p>
    <w:tbl>
      <w:tblPr>
        <w:tblW w:w="5585" w:type="dxa"/>
        <w:jc w:val="left"/>
        <w:tblInd w:w="0" w:type="dxa"/>
        <w:tblLayout w:type="fixed"/>
        <w:tblCellMar>
          <w:top w:w="28" w:type="dxa"/>
          <w:left w:w="28" w:type="dxa"/>
          <w:bottom w:w="28" w:type="dxa"/>
          <w:right w:w="28" w:type="dxa"/>
        </w:tblCellMar>
      </w:tblPr>
      <w:tblGrid>
        <w:gridCol w:w="1876"/>
        <w:gridCol w:w="146"/>
        <w:gridCol w:w="254"/>
        <w:gridCol w:w="1178"/>
        <w:gridCol w:w="254"/>
        <w:gridCol w:w="254"/>
        <w:gridCol w:w="254"/>
        <w:gridCol w:w="1178"/>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and 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32,292</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41,097</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provision for income taxes for interim periods is generally determined using an estimated annual effective tax rate as prescribed by ASC 740-270, </w:t>
      </w:r>
      <w:r>
        <w:rPr>
          <w:rFonts w:ascii="Times New Roman" w:hAnsi="Times New Roman"/>
          <w:i/>
          <w:color w:val="000000"/>
          <w:sz w:val="20"/>
        </w:rPr>
        <w:t>Income Taxes, Interim Reporting</w:t>
      </w:r>
      <w:r>
        <w:rPr>
          <w:rFonts w:ascii="Times New Roman" w:hAnsi="Times New Roman"/>
          <w:color w:val="000000"/>
          <w:sz w:val="20"/>
        </w:rPr>
        <w:t>. The effective tax rate may be subject to fluctuations during the year as new information is obtained, which may affect the assumptions used to estimate the annual effective tax rate, including factors such as valuation allowances and changes in valuation allowances against deferred tax assets, the recognition or de-recognition of tax benefits related to uncertain tax positions, if any, and changes in or the interpretation of tax laws in jurisdictions where Lineage conducts business. ASC 740-270 also states that if an entity is unable to reliably estimate some or a part of its ordinary income or loss, the income tax provision or benefit applicable to the item that cannot be estimated shall be reported in the interim period in which the item is reported. For items that Lineage cannot reliably estimate on an annual basis, Lineage uses the actual year to date effective tax rate rather than an estimated annual effective tax rate to determine the tax effect of each item, including the use of all available net operating losses and other credits or deferred tax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ASC 740, a valuation allowance is provided when it is more likely than not that some portion of the deferred tax assets will not be realized. Lineage established a full valuation allowance as of December 31, 2018 due to the uncertainty of realizing future tax benefits from its net operating loss carryforwards and other deferred tax assets, including foreign net operating losses generated by its subsidiaries.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4, 2025, President Trump signed H.R. 1, the One Big Beautiful Bill Act (“OBBBA”), into law. The OBBBA makes changes to the United States corporate income tax system, including reinstatement of 100% bonus depreciation, allowing domestic research cost expensing, and modifies the business interest expense limitation. ASC 740, "Income Taxes", requires the effects of changes in tax rates and laws on deferred tax balances to be recognized in the period in which the legislation is enacted. The impacts of the OBBBA are reflected in our results for the quarter ended September 30, 2025, and there was no material impact to our income tax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Lineage did not record a deferred tax benefit or provision expense during the nine months ended September 30, 2025 or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Real Property Leases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Carlsbad 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2019, Lineage entered into a lease for approximately 8,841 square feet of rentable space in an office park in Carlsbad, California. The lease was amended in December 2022 and again in September 2025. Under the amendment entered into in September 2025, the term of the lease was extended for 36 months commencing on April 1, 2026, and commencing on December 1, 2025, the monthly base rent will be reduced from $26,700 to $24,800, subject to 3% annual increases and rent will be abated for April 2026 through July 2026. As security for the performance of its obligations under the lease, Lineage provided the landlord a security deposit of $17,850, which is included in deposits and other long-term assets on the condensed consolidated balance sheet as of September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base rent, Lineage pays a pro-rata portion of increases in certain expenses, including real property taxes, utilities (to the extent not separately metered to the leased space) and the landlord’s operating expenses, over the amounts of those expenses incurred by the landlord. These pro-rata charges are expensed as incurred and excluded from the calculation of the right-of-use assets and lease liabilities.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Carlsbad Sublease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2022, Lineage entered into a sublease for approximately 4,500 square feet of rentable industrial space in Carlsbad, California for a term that commenced on October 1, 2022 and was originally set to expire on March 31, 2024. In February 2024, Lineage extended the term of the sublease for 24 months through March 31, 2026 on similar terms. The base rent was $23,000 per month for the first twelve months of the extended term and is $23,500 for the remaining twelve months. As security for the performance of its obligations under the sublease, Lineage provided the landlord with a security deposit of $22,500, which is included in prepaid expenses and other current assets on the condensed consolidated balance sheet as of September 30, 2025.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CCN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2025, CCN leases approximately 2,096 square meters (approximately 22,600 square feet) of combined office and laboratory space in Jerusalem, Israel under a master lease, as amended, that expires December 31, 2027. Cumulative base rent and construction allowance payments are approximately 165,000 Israeli New Shekels (“ILS”) per month (approximately $50,000 as of September 30, 2025), excluding any future rent escalations, and includes options to extend the lease term for five years. The U.S. dollar value of the ILS denominated base rent and construction allowance payments fluctuates based upon currency exchange rates. In addition to base rent, CCN pays a pro-rata share of real property taxes and certain costs related to the operation and maintenance of the building in which the leased premises are located, including parking usage fees. These pro-rata charges are expensed as incurred and excluded from the calculation of the ROU assets and lease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CCN has security deposits denominated in ILS with the landlord for this master lease which is classified as restricted cash during the term of the lease. The U.S. dollar value of the ILS denominated security deposits fluctuates based upon currency exchange rates and was $514,000 as of September 30, 2025, which is included in deposits and other long-term assets on the condensed consolidated balance sheet.</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Supplemental Information –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Supplemental cash flow information related to leases is as follows (in thousands):</w:t>
      </w:r>
    </w:p>
    <w:p>
      <w:pPr>
        <w:pStyle w:val="TextBody"/>
        <w:bidi w:val="0"/>
        <w:jc w:val="left"/>
        <w:rPr/>
      </w:pPr>
      <w:r>
        <w:rPr/>
        <w:t> </w:t>
      </w:r>
    </w:p>
    <w:tbl>
      <w:tblPr>
        <w:tblW w:w="8442" w:type="dxa"/>
        <w:jc w:val="left"/>
        <w:tblInd w:w="0" w:type="dxa"/>
        <w:tblLayout w:type="fixed"/>
        <w:tblCellMar>
          <w:top w:w="28" w:type="dxa"/>
          <w:left w:w="28" w:type="dxa"/>
          <w:bottom w:w="28" w:type="dxa"/>
          <w:right w:w="28" w:type="dxa"/>
        </w:tblCellMar>
      </w:tblPr>
      <w:tblGrid>
        <w:gridCol w:w="5311"/>
        <w:gridCol w:w="146"/>
        <w:gridCol w:w="352"/>
        <w:gridCol w:w="702"/>
        <w:gridCol w:w="243"/>
        <w:gridCol w:w="243"/>
        <w:gridCol w:w="352"/>
        <w:gridCol w:w="702"/>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Cash paid for amounts included in the measurement of </w:t>
              <w:br/>
              <w:t>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Supplemental balance sheet information related to leases was as follows (in thousands, except lease term and discount rate):</w:t>
      </w:r>
    </w:p>
    <w:p>
      <w:pPr>
        <w:pStyle w:val="TextBody"/>
        <w:bidi w:val="0"/>
        <w:jc w:val="both"/>
        <w:rPr/>
      </w:pPr>
      <w:r>
        <w:rPr/>
        <w:t> </w:t>
      </w:r>
    </w:p>
    <w:tbl>
      <w:tblPr>
        <w:tblW w:w="7415" w:type="dxa"/>
        <w:jc w:val="left"/>
        <w:tblInd w:w="0" w:type="dxa"/>
        <w:tblLayout w:type="fixed"/>
        <w:tblCellMar>
          <w:top w:w="28" w:type="dxa"/>
          <w:left w:w="28" w:type="dxa"/>
          <w:bottom w:w="28" w:type="dxa"/>
          <w:right w:w="28" w:type="dxa"/>
        </w:tblCellMar>
      </w:tblPr>
      <w:tblGrid>
        <w:gridCol w:w="3591"/>
        <w:gridCol w:w="146"/>
        <w:gridCol w:w="368"/>
        <w:gridCol w:w="997"/>
        <w:gridCol w:w="271"/>
        <w:gridCol w:w="146"/>
        <w:gridCol w:w="352"/>
        <w:gridCol w:w="953"/>
        <w:gridCol w:w="5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 years</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years</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Future minimum lease commitments are as follows as of September 30, 2025 (in thousands):</w:t>
      </w:r>
    </w:p>
    <w:p>
      <w:pPr>
        <w:pStyle w:val="TextBody"/>
        <w:bidi w:val="0"/>
        <w:jc w:val="left"/>
        <w:rPr/>
      </w:pPr>
      <w:r>
        <w:rPr/>
        <w:t> </w:t>
      </w:r>
    </w:p>
    <w:tbl>
      <w:tblPr>
        <w:tblW w:w="6020" w:type="dxa"/>
        <w:jc w:val="left"/>
        <w:tblInd w:w="0" w:type="dxa"/>
        <w:tblLayout w:type="fixed"/>
        <w:tblCellMar>
          <w:top w:w="28" w:type="dxa"/>
          <w:left w:w="28" w:type="dxa"/>
          <w:bottom w:w="28" w:type="dxa"/>
          <w:right w:w="28" w:type="dxa"/>
        </w:tblCellMar>
      </w:tblPr>
      <w:tblGrid>
        <w:gridCol w:w="2401"/>
        <w:gridCol w:w="146"/>
        <w:gridCol w:w="367"/>
        <w:gridCol w:w="998"/>
        <w:gridCol w:w="166"/>
        <w:gridCol w:w="146"/>
        <w:gridCol w:w="449"/>
        <w:gridCol w:w="736"/>
        <w:gridCol w:w="6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Ending December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Operating lease expense was $0.3 million and $0.9 million for each of the three and nine months ended September 30, 2025 and 2024.</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Collaborations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Roche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2021, Lineage entered into the Roche Agreement, wherein Lineage granted to Roche exclusive worldwide rights to develop and commercialize RPE cell therapies, including Lineage’s proprietary cell therapy known as OpRegen, for the treatment of ocular disorders, including GA secondary to AMD.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terms of the Roche Agreement, Roche paid Lineage a $50.0 million upfront payment and Lineage is eligible to receive up to an additional $620.0 million in developmental, regulatory and commercialization milestone payments. Lineage also is eligible for tiered double-digit percentage royalties on net sales of OpRegen in the U.S. and other major markets. All regulatory and commercial milestone payments and royalty payments are subject to the existence of certain intellectual property rights that cover OpRegen at the time such payments would otherwise become due, and the royalty payments on net sales of OpRegen are subject to financial offsets based on the existence of competing products. Roche assumed responsibility for further clinical development and commercialization of OpRegen. Lineage is responsible for completing activities related to its ongoing phase 1/2a clinical study, for which enrollment is complete, and performing certain manufacturing and process development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earlier terminated by either party, the Roche Agreement will expire on a product-by-product and country-by-country basis upon the expiration of all of Roche’s payment obligations under the agreement. Roche may terminate the agreement in its entirety, or on a product-by-product or country-by-country basis, at any time with advance written notice. Either party may terminate the agreement in its entirety with written notice for the other party’s material breach if such party fails to cure the breach or upon certain insolvency events involving the other party.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January 2022, Lineage received the $50.0 million upfront payment from Roche. Subsequently, Lineage, via CCN, made downstream payments to the IIA and to Hadasit Medical Research Services and Development Ltd. (“Hadasit”). Such payments were made in accordance with obligations under the Innovation Law (as discussed below) and under the terms of CCN’s agreements with Hadasit (as discussed below).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Agreements with Hadasit and IIA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OpRegen program was supported in part with licenses to technology obtained from Hadasit, the technology transfer company of Hadassah Medical Center, and through a series of research grants from the IIA, an independent agency created to address the needs of global innovation ecosystems. A subset of the intellectual property underlying OpRegen was originally generated at Hadassah Medical Center and licensed to CCN for further development.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the Encouragement of Research, Development and Technological Innovation in the Industry Law 5744, and the regulations, guidelines, rules, procedures and benefit tracks thereunder (collectively, the “Innovation Law”), annual research and development programs that meet specified criteria and were approved by a committee of the IIA were eligible for grants. The grants awarded were typically up to 50% of the project’s expenditures, as determined by the IIA committee and subject to the benefit track under which the grant was awarded.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grants under the Innovation Law generally require that the products developed as part of the programs under which the grants were given be manufactured in Israel. The know-how developed thereunder may not be transferred outside of Israel unless prior written approval is received from the IIA. Transfer of IIA-funded know-how outside of Israel is subject to approval and payment of a redemption fee to the IIA calculated according to formulas provided under the Innovation Law. In November 2021, the IIA research committee approved an application made by CCN with respect to the grant of an exclusive license and transfer of the technological know-how for OpRegen to Roche. Under the provisions for the redemption fee, Lineage paid the IIA approximately 24.1% of the upfront payment it received under the Roche Agreement, or $12.1 million, and is obligated to pay the IIA approximately 24.1% of any milestone and royalty payments which may be received under the Roche Agreement, up to an aggregate cap on all payments, such cap growing over time via interest accrual until paid in full. As of September 30, 2025, the aggregate cap amount was approximately $96.9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Pursuant to the Second Amended and Restated License Agreement, dated June 15, 2017, between CCN and Hadasit, and a certain letter agreement entered into on December 17, 2021, CCN paid a sublicensing fee to Hadasit of $8.9 million or 21.5% of the $50.0 million upfront payment under the Roche Agreement (subject to certain reductions), and CCN is obligated to pay Hadasit (i) a maximum of 21.5% of all milestone payments Lineage receives under the Roche Agreement (subject to certain reductions, including for costs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related to Lineage’s performance obligations under the Roche Agreement), and (ii) up to 50% of all royalty payments (subject to a maximum payment of 5% of net sales of products), Lineage receives under the Roche Agreement. The letter agreement generally terminates upon the termination of the Roche Agreement. In accordance with the terms of these agreements, the initial sublicensing fee payment to Hadasit was reduced for costs related to Lineage’s performance obligations under the Roche Agreement. To the extent such costs were not incurred within five years after the execution of the Roche Agreement, CCN would have been required to pay Hadasit 21.5% of the amount of costs not incurred; however to date, all such costs have been incurred.</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Amendment to Clinical Trial and Option Agreement and License Agreement with Cancer Research UK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May 2020, Lineage and Asterias entered into a Second Amendment to the Clinical Trial and Option Agreement (the “Second CTOA Amendment”) with CRUK and Cancer Research Technology (“CRT”). The Second CTOA Amendment amended the initial agreement and the first amendment to the Clinical Trial and Option Agreement, each of which is dated September 8, 2014, between Asterias, CRUK and CRT. Pursuant to the Second CTOA Amendment, Lineage assumed all obligations of Asterias and exercised early its option to acquire data generated in the Phase 1 clinical trial of VAC2 in non-small cell lung cancer being conducted by CRUK. Lineage and CRT effectuated the option by simultaneously entering into a license agreement (the “CRT License Agreement”) pursuant to which Lineage paid a signature fee of £1,250,000 (approximately $1.6 million based upon exchange rates in effect when the fee was paid).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Effective June 30, 2025, Lineage determined that it was no longer going to pursue the VAC2 program, and was going to cease development and commercialization of all products under the CRT License Agreement. In conjunction therewith, CRT notified Lineage of CRT’s termination of the CRT License Agreement, which it had the right to do if Lineage ceased all development and commercialization of all products under the CRT License Agreement. Further, in conjunction therewith, Lineage notified Immunomic Therapeutics, Inc. (“ITI”) of the termination of the collaboration agreement that Lineage had entered into with ITI in April 2021 (the “ITI Agreement”) in accordance with its terms. The Company has abandoned all future development efforts and will no longer prosecute any of the issued patents related to the VAC platform. Accordingly, the Company performed an impairment assessment of the VAC platform IPR&amp;D intangible asset which resulted in a non-cash, pre-tax impairment charge during the quarter ended June 30, 2025 of $14.8 million. Additionally, Lineage recognized the remaining deferred revenue amount of approximately $0.7 million, as of the June 30, 2025 effective date of the termination of the ITI Agreement, since Lineage had no remaining performance obligations under such agreement. See Note 6 (Goodwill and Intangible Assets, Net) to our condensed consolidated interim financial statements included in this report for additional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Demant Collaboration</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 xml:space="preserve">On August 22, 2025, Lineage and WDI entered into a research collaboration agreement (the “RCA”) to advance the preclinical development of ReSonance (ANP1) for the treatment of hearing loss (the “Project”). WDI will fund up to $12 million in research collaboration costs over the approximate three-year term of the RCA. The main objective of the RCA is for the parties to complete a preclinical phase achieving readiness to potentially progress to human clinical trials under one or more separate clinical agreements, the terms of which would be negotiated in good faith before the expiration of the RCA.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All intellectual property owned by a party prior to the date of the RCA will remain such party’s sole and exclusive property. The parties will jointly own all results, data, reports, know-how and patent(s) conceived or otherwise generated in the course of and resulting from the Project, other than discoveries or developments relating to Lineage’s proprietary platform technology.</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If a party (the “abandoning party”) informs the other party (the “continuing party”) that it will not continue the research with the other party under a clinical agreement, the continuing party may purchase the abandoning party’s ownership interest in the intellectual property resulting from the Project for exploitation for the treatment of hearing loss and a license to the abandoning party’s background intellectual property to the extent necessary for such exploitation for an amount and on terms to be determined by the mutual agreement of the parties, and if such mutual agreement is not reached, by an independent third-party.</w:t>
      </w:r>
    </w:p>
    <w:p>
      <w:pPr>
        <w:pStyle w:val="TextBody"/>
        <w:bidi w:val="0"/>
        <w:spacing w:before="200" w:after="283"/>
        <w:jc w:val="both"/>
        <w:rPr>
          <w:rFonts w:ascii="Times New Roman" w:hAnsi="Times New Roman"/>
          <w:sz w:val="20"/>
        </w:rPr>
      </w:pPr>
      <w:r>
        <w:rPr>
          <w:rFonts w:ascii="Times New Roman" w:hAnsi="Times New Roman"/>
          <w:i/>
          <w:color w:val="000000"/>
          <w:sz w:val="20"/>
        </w:rPr>
        <w:t>Other Contingent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obligations under license agreements and grants received from government entities to make future payments to third parties, which become due and payable on the achievement of certain development, regulatory and commercial milestones or on the sublicense of our rights to another party. These commitments include sublicense fees, milestone payments, redemption fees and royalties.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the future achievement of certain development and regulatory milestones. Redemption fees due to the IIA under the Innovation Law are due upon receipt of any milestone or royalty payment received in respect of IIA-funded programs.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Royalties are payable to licensors or government entities based on a percentage of net sales of licensed products. As of September 30, 2025, we have not included these commitments on our condensed consolidated balance sheet because the achievement and timing of these events are not fixed and determinable.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Litigation – 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are subject to legal proceedings and claims in the ordinary course of business. While management presently believes that the ultimate outcome of these proceedings, individually and in the aggregate, will not materially harm our financial position, cash flows, or overall trends in results of operations, legal proceedings are subject to inherent uncertainties, and unfavorable rulings or outcomes could occur that have individually or in aggregate, a material adverse effect on our business, financial condition or operating results. We are not currently subject to any pending material litigation, other than ordinary routine litigation incidental to our business.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HBL Books and Records Request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April 17, 2023, CCN received a motion for disclosure of documents pursuant to Section 198A of the Israeli Companies Law 5759-1999. The motion was filed in the district court in Tel Aviv-Yafo (the “Court”) by HBL Hadasit Bio-Holdings Ltd. (“HBL”), currently an approximately 5% shareholder of CCN. According to the motion, the requested production of documents is intended to allow HBL to examine the possibility of pursuing a derivative action related to, among other things, the validity of an intercompany Collaboration and License Agreement (the “Intercompany Agreement”) entered into between Lineage and CCN pursuant to which CCN conveyed certain rights and other assets to Lineage, and Lineage agreed to undertake certain liabilities and obligations of CCN relating to the OpRegen® program. In its motion, HBL alleges, among other things, that Lineage, in its capacity as CCN’s controlling shareholder, and members of CCN’s board of directors caused damage to CCN because the Intercompany Agreement was an interested party transaction that was not fairly priced and exploits CCN’s resources for the benefit of Lineage. The motion seeks an order to compel CCN to disclose and deliver to HBL the documents described in the motion, such additional, cumulative, or alternative relief as the Court deems appropriate, and reimbursement of HBL’s expenses, including attorneys’ fees. The Court held a hearing on the motion on March 14, 2024 after which the Court proposed, and the parties agreed, to retain a third-party valuation firm to assess the fairness of the valuation that was performed in support of the Intercompany Agreement. In June 2025, the third party valuation firm delivered its report stating that in its opinion the consideration paid by Lineage to CCN under the Intercompany Agreement was insufficient. The Court subsequently notified the parties that they were to advise the Court whether they have settled the matter between themselves by no later than September 7, 2025, which date was subsequently extended to January 4, 2026. If not settled by January 4, 2026, then the Court will hold a hearing on HBL’s motion. It is not possible at this time to assess the likelihood of whether the outcome of this proceeding will have a material adverse effect on Lineage’s consolidated results of operations, cash flows or financial position. Therefore, in accordance with ASC 450, </w:t>
      </w:r>
      <w:r>
        <w:rPr>
          <w:rFonts w:ascii="Times New Roman" w:hAnsi="Times New Roman"/>
          <w:i/>
          <w:color w:val="000000"/>
          <w:sz w:val="20"/>
        </w:rPr>
        <w:t>Contingencies</w:t>
      </w:r>
      <w:r>
        <w:rPr>
          <w:rFonts w:ascii="Times New Roman" w:hAnsi="Times New Roman"/>
          <w:color w:val="000000"/>
          <w:sz w:val="20"/>
        </w:rPr>
        <w:t xml:space="preserve">, Lineage has not recorded any accrual for a contingent liability associated with this legal proceeding based on its belief that a liability, while possible, is not probable nor estimable, and any range of potential contingent liability amounts cannot be reasonably estimated at this time. Lineage records legal expenses as incurred.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Employment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Lineage has employment agreements with all of its executive officers. Under the provisions of the agreements, Lineage may be required to incur severance obligations for matters relating to changes in control, as defined in the agreements, and involuntary terminations.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normal course of business, Lineage may agree to indemnify and reimburse other parties, typically Lineage’s clinical research organizations, investigators, clinical sites, and suppliers, for losses and expenses suffered or incurred by the indemnified parties arising from claims of third parties in connection with the use or testing of Lineage’s products and services. Indemnification could also cover third party infringement claims with respect to patent rights, copyrights, or other intellectual property pertaining to Lineage products and services. The term of these indemnification agreements generally continue in effect after the termination or expiration of the particular research, development, services, or license agreement to which they relate. In addition, Lineage has entered into indemnification agreements with officers and members of its board of directors that will require Lineage, among other things, to indemnify them against certain liabilities that may arise by reason of their status or service as officers or directors. The potential future payments Lineage could be required to make under the indemnification agreements described in this paragraph will generally not be subject to any specified maximum amount. Generally, Lineage has not been subject to any material claims or demands for indemnification. Lineage maintains liability insurance policies that limit its financial exposure under the indemnification agreements described in this paragraph. Accordingly, Lineage has not recorded any liabilities for these agreements as of September 30, 2025 or December 31, 2024.</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LINEAGE CELL THERAPEUTICS,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INTERIM FINANCIAL STATEMENTS (CONTINUED)</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Royalty Obligations and License Fees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licensing agreements with research institutions, universities and other parties providing us with certain rights to use intellectual property in conducting research and development activities in exchange for the payment of royalties on future product sales, if any. In addition, in order to maintain these licenses and other rights, we must comply with various conditions including the payment of patent related costs and annual minimum maintenance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the Asterias Merger, Lineage acquired royalty revenues for cash flows generated under patent families that Asterias acquired from Geron Corporation. Lineage continues to make royalty payments to Geron from royalties generated from these patents. Royalty revenues and royalty payments are included within royalties, license and other revenues and cost of royalties, respectively, in our condensed consolidated statements of operations.</w:t>
      </w:r>
    </w:p>
    <w:p>
      <w:pPr>
        <w:pStyle w:val="TextBody"/>
        <w:bidi w:val="0"/>
        <w:spacing w:before="36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12" w:name="item_2_mda"/>
      <w:bookmarkEnd w:id="12"/>
      <w:r>
        <w:rPr>
          <w:rFonts w:ascii="Times New Roman" w:hAnsi="Times New Roman"/>
          <w:b/>
          <w:color w:val="000000"/>
          <w:sz w:val="20"/>
        </w:rPr>
        <w:t>Item 2. Management’s Discussion and Analysis of Financial Condition and Result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and analysis of financial condition and results of operations should be read in conjunction with our accompanying unaudited condensed consolidated interim financial statements and notes thereto and our audited financial statements and notes thereto for the year ended December 31, 2024 included in the 2024 10-K. Past operating results are not necessarily indicative of results that may occur in future periods.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discussion includes forward-looking statements. See “Special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2024 10-K, and in our subsequent filings with the SEC, including any discussed in Part II, Item 1A of this report under the heading “Risk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Company and Business Overview</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a clinical-stage biotechnology company developing novel allogeneic, or “off-the-shelf”, cell therapies for serious medical conditions. Our programs are based on our proprietary, cell-based technology platform and associated development, formulation, manufacturing and delivery capabilities. From this platform, we design, develop, manufacture, and test specialized human cells with anatomical and physiological functions similar or identical to cells found naturally in the human body. The cells we manufacture are produced by applying directed differentiation processes to established, well-characterized, and self-renewing pluripotent cell lines. These processes are based on specific developmental lineages and generate cells with desired characteristics. Functional cells developed from such lineages that are relevant to the underlying condition are transplanted into patients in an effort to (a) </w:t>
      </w:r>
      <w:r>
        <w:rPr>
          <w:rFonts w:ascii="Times New Roman" w:hAnsi="Times New Roman"/>
          <w:i/>
          <w:color w:val="000000"/>
          <w:sz w:val="20"/>
        </w:rPr>
        <w:t>replace</w:t>
      </w:r>
      <w:r>
        <w:rPr>
          <w:rFonts w:ascii="Times New Roman" w:hAnsi="Times New Roman"/>
          <w:color w:val="000000"/>
          <w:sz w:val="20"/>
        </w:rPr>
        <w:t xml:space="preserve"> or support cells that are absent or dysfunctional due to degenerative disease, aging, or traumatic injury, and (b) </w:t>
      </w:r>
      <w:r>
        <w:rPr>
          <w:rFonts w:ascii="Times New Roman" w:hAnsi="Times New Roman"/>
          <w:i/>
          <w:color w:val="000000"/>
          <w:sz w:val="20"/>
        </w:rPr>
        <w:t>restore</w:t>
      </w:r>
      <w:r>
        <w:rPr>
          <w:rFonts w:ascii="Times New Roman" w:hAnsi="Times New Roman"/>
          <w:color w:val="000000"/>
          <w:sz w:val="20"/>
        </w:rPr>
        <w:t xml:space="preserve"> or enhance the patient's functional activity. Our business strategy is to efficiently leverage our technology platform and our development and manufacturing capabilities to advance our programs internally or in conjunction with strategic partners to further enhance their value and probability of success.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pipeline of allogeneic, or “off-the-shelf”, cell therapy programs currently available to us for development includes: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OpRegen</w:t>
      </w:r>
      <w:r>
        <w:rPr>
          <w:rFonts w:ascii="Times New Roman" w:hAnsi="Times New Roman"/>
          <w:color w:val="000000"/>
          <w:sz w:val="13"/>
        </w:rPr>
        <w:t>®</w:t>
      </w:r>
      <w:r>
        <w:rPr>
          <w:color w:val="000000"/>
        </w:rPr>
        <w:t xml:space="preserve"> </w:t>
      </w:r>
      <w:r>
        <w:rPr>
          <w:rFonts w:ascii="Times New Roman" w:hAnsi="Times New Roman"/>
          <w:i/>
          <w:color w:val="000000"/>
          <w:sz w:val="20"/>
        </w:rPr>
        <w:t xml:space="preserve">(RG6501), </w:t>
      </w:r>
      <w:r>
        <w:rPr>
          <w:rFonts w:ascii="Times New Roman" w:hAnsi="Times New Roman"/>
          <w:color w:val="000000"/>
          <w:sz w:val="20"/>
        </w:rPr>
        <w:t xml:space="preserve">an allogeneic retinal pigmented epithelial (“RPE”) cell replacement therapy currently in Phase 2a development under a worldwide collaboration with F. Hoffmann-La Roche Ltd and Genentech, Inc., a member of the Roche Group (collectively or individually, “Roche” or “Genentech”), for the treatment of geographic atrophy (“GA”) secondary to age-related macular degeneration (“AMD”).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OPC1, </w:t>
      </w:r>
      <w:r>
        <w:rPr>
          <w:rFonts w:ascii="Times New Roman" w:hAnsi="Times New Roman"/>
          <w:color w:val="000000"/>
          <w:sz w:val="20"/>
        </w:rPr>
        <w:t xml:space="preserve">an allogeneic oligodendrocyte progenitor cell therapy currently in Phase 1/2a development for the treatment of spinal cord injuries (“SCI”).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ReSonance</w:t>
      </w:r>
      <w:r>
        <w:rPr>
          <w:rFonts w:ascii="Times New Roman" w:hAnsi="Times New Roman"/>
          <w:i/>
          <w:color w:val="000000"/>
          <w:sz w:val="13"/>
        </w:rPr>
        <w:t xml:space="preserve">TM </w:t>
      </w:r>
      <w:r>
        <w:rPr>
          <w:rFonts w:ascii="Times New Roman" w:hAnsi="Times New Roman"/>
          <w:i/>
          <w:color w:val="000000"/>
          <w:sz w:val="20"/>
        </w:rPr>
        <w:t xml:space="preserve">(ANP1), </w:t>
      </w:r>
      <w:r>
        <w:rPr>
          <w:rFonts w:ascii="Times New Roman" w:hAnsi="Times New Roman"/>
          <w:color w:val="000000"/>
          <w:sz w:val="20"/>
        </w:rPr>
        <w:t>an allogeneic auditory neuron progenitor cell transplant currently in preclinical development under a collaboration with William Demant Invest 2 Aps (“WDI”) for the potential treatment of auditory neuropathy.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PNC1</w:t>
      </w:r>
      <w:r>
        <w:rPr>
          <w:rFonts w:ascii="Times New Roman" w:hAnsi="Times New Roman"/>
          <w:color w:val="000000"/>
          <w:sz w:val="20"/>
        </w:rPr>
        <w:t xml:space="preserve">, an allogeneic photoreceptor cell transplant currently in preclinical development for the treatment of vision loss due to photoreceptor dysfunction or damage.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RND1, </w:t>
      </w:r>
      <w:r>
        <w:rPr>
          <w:rFonts w:ascii="Times New Roman" w:hAnsi="Times New Roman"/>
          <w:color w:val="000000"/>
          <w:sz w:val="20"/>
        </w:rPr>
        <w:t>a cell transplant program for an undisclosed indication, currently being developed through a gene editing collaboration with Factor Biosciences Limited.</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 proprietary hypoimmune cell line,</w:t>
      </w:r>
      <w:r>
        <w:rPr>
          <w:color w:val="000000"/>
        </w:rPr>
        <w:t xml:space="preserve"> </w:t>
      </w:r>
      <w:r>
        <w:rPr>
          <w:rFonts w:ascii="Times New Roman" w:hAnsi="Times New Roman"/>
          <w:color w:val="000000"/>
          <w:sz w:val="20"/>
        </w:rPr>
        <w:t>which may have utility in additional central nervous system indications.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ILT1, </w:t>
      </w:r>
      <w:r>
        <w:rPr>
          <w:rFonts w:ascii="Times New Roman" w:hAnsi="Times New Roman"/>
          <w:color w:val="000000"/>
          <w:sz w:val="20"/>
        </w:rPr>
        <w:t>an allogeneic islet cell transplant research program for the treatment of type 1 diabetes (T1D). We aim to deploy our manufacturing capability to address the issue of large-scale production of islet cells, with an initial goal of establishing a production modality that can support the entire production process in a dynamic culturing system, potentially solving a major hurdle to commercialization of islet cell therapy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lead cell therapy program, known as OpRegen, is being developed for the treatment of ocular disorders, including GA secondary to AMD under the Collaboration and License Agreement we entered into with Roche in December 2021 (the “Roche Agreement”). OpRegen (also known as RG6501) is a suspension of human allogeneic RPE cells and is currently being evaluated in a Phase 2a multicenter clinical trial in patients with GA secondary to AMD which is referred to as the GAlette Study. OpRegen subretinal delivery has the potential to counteract RPE cell loss in areas of GA lesions by supporting retinal cell health and improving retinal structure and function. Under the terms of the Roche Agreement, we received a $50.0 million upfront payment in January 2022 and are eligible to receive up to an additional $620.0 million in developmental, regulatory, and commercialization milestone payments. We also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are eligible to receive tiered double-digit percentage royalties on net sales of OpRegen in the U.S. and other major markets. In May 2024, we entered into an additional agreement with Genentech pursuant to which we agreed to provide Genentech with supplemental clinical, technical, training, manufacturing, and procurement services that support the ongoing advancement of the OpRegen program in exchange for certain payments. In September 2024, Roche and Genentech announced receipt of Regenerative Medicine Advanced Therapy (“RMAT”) designation from the U.S. Food and Drug Administration (“FDA”) for OpRegen for the treatment of GA secondary to dry AMD. In June 2025, Roche and Genentech presented positive 36-month visual acuity results at Clinical Trials at The Summit 2025, from the Lineage-run Phase 1/2a clinical trial of OpRegen. The presentation showed that (i) gains in Best Corrected Visual Acuity (BCVA) in patients in Cohort 4 (less advanced GA) measured at month 12 remain evident through month 36 following subretinal administration of OpRegen cell therapy; (ii) improvement in BCVA and outer retinal structure in patients with extensive OpRegen bleb coverage of their GA area was greater than in patients with limited coverage and persisted through month 36; (iii) in those patients with extensive OpRegen cell therapy coverage of atrophic areas at the time of surgical delivery, the mean change in BCVA was +9.0 ETDRS letters for those completing 3-year follow-up (compared to +7.4 ETDRS letters at 24 months) (n=5); and (iv) these data suggest that OpRegen cell therapy may counteract RPE cell dysfunction and loss in GA by providing support to the remaining retinal cells within atrophic areas, and these effects appear durable through at least 36 months after a single administration.</w:t>
      </w:r>
    </w:p>
    <w:p>
      <w:pPr>
        <w:pStyle w:val="TextBody"/>
        <w:bidi w:val="0"/>
        <w:spacing w:before="240" w:after="283"/>
        <w:jc w:val="both"/>
        <w:rPr>
          <w:rFonts w:ascii="Times New Roman" w:hAnsi="Times New Roman"/>
          <w:sz w:val="20"/>
        </w:rPr>
      </w:pPr>
      <w:r>
        <w:rPr>
          <w:rFonts w:ascii="Times New Roman" w:hAnsi="Times New Roman"/>
          <w:color w:val="000000"/>
          <w:sz w:val="20"/>
        </w:rPr>
        <w:t>Our most advanced internally owned product candidate is OPC1, an allogeneic oligodendrocyte progenitor cell therapy designed to improve recovery following an SCI. Improved functional activity can lead to greater mobility and enhanced quality of life for those affected by a SCI and significant cost-savings for caregivers and payors. OPC1 also has an extensive long-term safety profile based on two clinical trials conducted to date: a five-subject Phase 1 safety trial in acute thoracic SCI, where all active participants have been followed for at least 13 years, and a 25-subject Phase 1/2a multicenter dose-escalation trial in subacute cervical SCI, where all active participants were evaluated for at least 7 years. Results from these studies have been published in the Journal of Neurosurgery Spine. In February 2025, we announced that we were initiating our DOSED (Delivery of Oligodendrocyte Progenitor Cells for Spinal Cord Injury: Evaluation of a Novel Device) clinical study to evaluate the safety and utility of a novel spinal cord delivery device designed to administer OPC1 to the spinal parenchyma in both subacute (between 21 to 42 days following injury) and chronic (between 1 to 5 years following injury) SCI participants. The DOSED study is the first study of OPC1 to include participants with a chronic injury, a condition which comprises the majority of individuals affected by SCI. In August 2025, we announced the dosing of the first participant in the DOSED study. We expect DOSED will enable future subsequent studies aimed to demonstrate OPC1’s ability to impact functional outcomes</w:t>
      </w:r>
      <w:r>
        <w:rPr>
          <w:rFonts w:ascii="Aptos;sans-serif" w:hAnsi="Aptos;sans-serif"/>
          <w:color w:val="000000"/>
          <w:sz w:val="20"/>
        </w:rPr>
        <w:t>.</w:t>
      </w:r>
      <w:r>
        <w:rPr>
          <w:rFonts w:ascii="Times New Roman" w:hAnsi="Times New Roman"/>
          <w:color w:val="000000"/>
          <w:sz w:val="20"/>
        </w:rPr>
        <w:t xml:space="preserve"> In July 2025, the first chronic SCI participant (a neurologically complete SCI injury (American Spinal Injury Association Impairment Scale [AIS] grade A), with a single neurological level of injury (NLI) from levels T1 to T10) was treated in the DOSED study at UC San Diego Health, and the novel delivery system successfully administered a one-time injection of OPC1. No significant safety events have been reported through sixty days post treatment in the first treated chronic SCI participant in the DOSED study. OPC1 clinical development has been supported in part by a $14.3 million grant from the California Institute for Regenerative Medicine (“CIRM”) and we have applied for approximately $7.0 million of additional funding from CIRM to support continued clinical development of OPC1 for the treatment of SCI. Subsequent to the submission of our grant application and as part of the standard grants review process, Lineage has provided additional information in support of its application to CIRM in response to request from CIRM representatives. CIRM continues to review Lineage’s application for a clinical grant to support the DOSED study and Lineage believes that CIRM will make a decision as to the grants it will award in December 2025. No assurances can be given that Lineage will be awarded a grant or, if awarded, the amount or timing thereof.. See “Item 1. Business - Grants from Government Entities – Grants from the California Institute for Regenerative Medicine,” in the 2024 10K.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second most advanced internally owned product candidate is ReSonance (ANP1), an allogeneic auditory neuron progenitor cell transplant, currently in preclinical development for the treatment of sensorineural hearing loss. In August 2025, we announced that we entered into a research collaboration agreement with WDI to advance the preclinical development of ReSonance for the treatment of hearing loss. WDI will fund up to $12 million in research collaboration costs over the approximate three-year term of the agreement. The main objective of the agreement is for the parties to complete a preclinical phase achieving readiness to potentially progress to human clinical trials under one or more separate clinical agreements, the terms of which would be negotiated in good faith before the expiration of the agreement. Development activities will be jointly conducted and managed by Lineage and scientists from Eriksholm Research Centre, part of Oticon A/S, which is a subsidiary of the Demant Group. See Note 13. (Commitments and Contingencies—Collaborations—Demant Collaboration) to our condensed consolidated interim financial statements included in this report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Scalable, cost-effective manufacturing, which we believe is a significant hurdle to overcome for cell therapy companies, can help make cell therapies available and affordable for wider patient populations. We previously completed a current Good Manufacturing Practice, or cGMP, production run for each of OpRegen and OPC1, two of our product candidates, from a customized, two-tiered cGMP compliant and genetically stable cell banking system. A vial from a stable cGMP master cell bank created from a single, well-characterized pluripotent cell line can be the source of a cGMP working cell bank, which thereafter generates hundreds or thousands of vials of a final cell-based product comprised of millions of cells per vial. In total, we have to date produced unique cGMP banking systems for three of our product candidates, the third being ReSonance. We expect the cell banks we have manufactured will support a production capability exceeding the reasonably foreseeable number of patients with the conditions that OpRegen and OPC1 are currently intended to address (each of which we currently expect to be a single-administration dose) without requiring the manufacture of a new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starting master cell bank. We therefore believe we have reduced to practice and demonstrated a reproducible and scalable cGMP cell therapy production capability with the purity, potency, and production scale implied by an “off the shelf” allogeneic product. We plan to leverage this expertise to produce a cost-effective, scalable, and consistent supply of allogeneic cell transplant product candidates for ourselves and others, including for indications requiring large cell doses or with large patient populations.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Programs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to date primarily focused on neurological and ophthalmic cell types, the pluripotent cells which our platform is based on are capable of becoming any of the cell types of the human body. We currently maintain a list of additional undisclosed product candidates which may be considered for development or partnership in the future, and which altogether cover a range of therapeutic areas and conditions. Generally, these product candidates are based on the same platform technology and employ a similar guided cell differentiation and transplant approach as the product candidates discussed above, but in some cases may also include genetic modifications designed to enhance efficacy and/or safety profiles. We may elect not to develop, terminate the development of, or not partner any of these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to seeking to create value for shareholders by developing product candidates through clinical development, we also may seek to create value from our intellectual property or related technologies and capabilities, through licensing collaborations and/or other strategic transactions.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Israeli Regional Conflict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of our manufacturing processes, including cell banking and product manufacturing for our cell therapy product candidates, are conducted by our subsidiary, Cell Cure Neurosciences Ltd. (“CCN”), at its facility in Jerusalem, Israel, and more than two-thirds of our workforce are CCN employees based in that facility.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a result of safety concerns and in response to government-imposed restrictions on movement and travel and other precautions taken from time to time since the Israeli regional conflict that began in October 2023, our operations at our facility in Israel were temporarily impacted. Further, a number of our employees in Israel are members of the military reserves and subject to immediate call-up. In addition, the general impact on our employees operating in a region of conflict could adversely impact our operations. Although we have business continuity plans in place to address medium- or long-term disruptions that could result from regional instability, any long-term closure of our facility in Israel, or if that facility were damaged, or if hostilities otherwise disrupt our ongoing operations at that facility, or if a meaningful number of our employees are unable to work for significant portions of time, our operations would be materially and adversely impacted.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the date of the filing of this report, our operations have not been materially or adversely impacted as a result of the Israeli regional conflict. It is currently not possible to predict the scope, duration or severity of the conflict or its effects on our operations, financial condition or operating results. The conflict is currently the subject of a cease fire agreement between Israel and Hamas announced in October 2025, however it continues to rapidly evolve, and could materially adversely impact our business and operations, including our ability to raise capital, as well as the overall economy in Israel and the value of the New Israeli Shekel. See the risk factor in Item 1A. Risk Factors in Part I of the 2024 10-K titled, “All of our manufacturing operations currently are conducted at our facility in Jerusalem, Israel. Accordingly, political and economic conditions in Israel and war, cyberattacks, terrorist attacks or other armed conflicts involving Israel and the broader region could directly affect our business. Any event or condition that significantly disrupts our ordinary course of operations at our Jerusalem facility could harm our business and materially and adversely affect our financial condition and operating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commercial insurance may not cover losses that may occur as a result of events associated with war and terrorism. Although the Israeli government currently covers the reinstatement value of direct damages that are caused by terrorist attacks or acts of war, we cannot assure that this government coverage will be maintained or that it will sufficiently cover our potential damages. Any losses or damages incurred by us could have a material adverse effect on our business.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Macroeconomic, Political, and Regulatory Environment Considerations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financial condition, operating results, stock price, and our ability to raise additional capital may be adversely affected by evolving macroeconomic, political, and regulatory developments and conditions, such as inflation, trade disruptions and restrictive measures, including tariffs, high interest rates, slowed economic growth or recession, uncertainty with respect to the federal budget and debt ceiling, potential or prolonged U.S. government shutdowns, volatility in financial markets, liquidity concerns at financial institutions, supply chain disruptions, changes in the regulatory landscape in the U.S., including due to significant reductions in funding and staffing of federal agencies and changes in leadership, and geopolitical factors. Further, third parties with whom we have business relationships, including clinical investigative sites, financial institutions, and our collaborators, may be adversely affected by the foregoing risks, which could directly impact our ability to achieve our operating goals within planned timelines and budgets.</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there may be significant future effects on the pharmaceutical and biopharmaceutical industries as a result of federal policy and regulatory changes under the current U.S. presidential administration, including in areas relating to regulatory framework and oversight, research and development funding, drug pricing reform, global trade policy and tariffs, and others. Recent initiatives have resulted in significant reductions in staffing levels at the FDA and other governmental agencies. The foregoing could impact agencies’ ability to retain remaining key personnel and hire additional personnel, which may disrupt their ability to perform routine activities or function in the normal course. For example, with respect to the FDA, this may result in delays or limitations on our ability to obtain guidance from agency staff and slow review times for applications we submit with respect to clinical studies, any of which could negatively impact the cost and timelines for developing and obtaining regulatory approval of our product candidates. A prolonged federal government shutdown with additional agency staff furloughed or laid off could exacerbate these risks. Moreover, the current U.S. presidential administration has taken and may take additional future actions to freeze or reduce federal funding for medical research, which could decrease the ability of facilities that rely on such funding to conduct clinical trials or increase the costs to us of conducting clinical trials at those facilities. Given the high level of uncertainty regarding federal policy, enforcement and regulatory changes, and that circumstances are rapidly evolving, we cannot reasonably predict the potential impact on our business at this time. </w:t>
      </w:r>
    </w:p>
    <w:p>
      <w:pPr>
        <w:pStyle w:val="TextBody"/>
        <w:bidi w:val="0"/>
        <w:spacing w:before="36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accounting policy is deemed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 See the discussion under the Critical Accounting Estimates heading in Part II, Item 7. Management’s Discussion and Analysis of Financial Condition and Result of Operations in the 2024 10-K and our audited financial statements and notes thereto for the year ended December 31, 2024 in Part II, Item 8 of the 2024 10-K for accounting policies and related estimates we believe are the most critical to understanding our condensed consolidated interim financial statements, financial condition and results of operations and which require complex management judgment and assumptions or involve uncertainties. The estimates and judgments involved in our accounting policies as described in our audited financial statements and notes thereto for the year ended December 31, 2024, continue to be our critical accounting policies and there have been no material changes to our critical accounting policies during the nine months ended September 30,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Three and Nine Months Ended September 30, 2025 and 2024</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our revenues for the periods presented (amounts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31"/>
        <w:gridCol w:w="146"/>
        <w:gridCol w:w="196"/>
        <w:gridCol w:w="511"/>
        <w:gridCol w:w="146"/>
        <w:gridCol w:w="146"/>
        <w:gridCol w:w="196"/>
        <w:gridCol w:w="511"/>
        <w:gridCol w:w="146"/>
        <w:gridCol w:w="146"/>
        <w:gridCol w:w="276"/>
        <w:gridCol w:w="562"/>
        <w:gridCol w:w="166"/>
        <w:gridCol w:w="146"/>
        <w:gridCol w:w="860"/>
        <w:gridCol w:w="146"/>
        <w:gridCol w:w="196"/>
        <w:gridCol w:w="511"/>
        <w:gridCol w:w="146"/>
        <w:gridCol w:w="146"/>
        <w:gridCol w:w="196"/>
        <w:gridCol w:w="511"/>
        <w:gridCol w:w="146"/>
        <w:gridCol w:w="146"/>
        <w:gridCol w:w="237"/>
        <w:gridCol w:w="618"/>
        <w:gridCol w:w="166"/>
        <w:gridCol w:w="146"/>
        <w:gridCol w:w="909"/>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Nine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Royalties, license and other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(37)%</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w:t>
            </w:r>
          </w:p>
        </w:tc>
      </w:tr>
    </w:tbl>
    <w:p>
      <w:pPr>
        <w:pStyle w:val="TextBody"/>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For the three months ended September 30, 2025, the $0.1 million decrease in total revenues as compared to the prior year was primarily attributable to a $0.3 million decrease related to lower royalty revenue and other service revenues. This decrease was partially offset by a $0.2 million increase in collaboration revenue resulting from the combined impact of a $1.8 million increase in revenue resulting from the research collaboration agreement with WDI which was executed in the current quarter, partially offset by a $1.6 million decrease in revenue recognized under the Roche Agreement.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nine months ended September 30, 2025, the $1.3 million increase in total revenues as compared to the prior year was primarily attributable to the $1.8 million collaboration revenues resulting from the research collaboration agreement with WDI executed in the current quarter, combined with the offsetting effects of (i) a $0.7 million increase in revenue related to the remaining deferred revenue recognized upon the termination of the license agreement with Immunomic Therapeutics, Inc., in the second quarter of 2025; (ii) a $0.8 million decrease in revenue related to the Roche Agreement; and (iii) a decrease of approximately $0.4 million in royalty revenue and other service revenues. See Note 13 (Commitments and Contingencies) to our condensed consolidated interim financial statements included in this report for additional information.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Collaboration revenues from the Roche Agreement may fluctuate from period to period based on changes in estimated costs to support the performance obligations. Under the Roche Agreement, delivery is determined to be over time and revenue is recognized utilizing an input method of costs incurred over total estimated costs to complete the performance obligation. The collaboration revenue recognized each period was included within deferred revenue at the beginning of each reporting period. See Note 3 (Revenue) to our condensed consolidated interim financial statements included in this report for additional information.</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expenses generally consist of cost of royalties, research and development expenses, and general and administrative expenses.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Cost of royalties</w:t>
      </w:r>
      <w:r>
        <w:rPr>
          <w:rFonts w:ascii="Times New Roman" w:hAnsi="Times New Roman"/>
          <w:color w:val="000000"/>
          <w:sz w:val="20"/>
        </w:rPr>
        <w:t>. These expenses consist of costs associated with royalty revenue which has resulted from product royalties by our sublicensees.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These expenses consist of costs incurred for company-sponsored, collaborative and contracted research and development activities. These costs include direct expenses and indirect research-related overhead expenses including compensation and related benefits, stock-based compensation, consulting fees, research and laboratory fees, rent of research facilities, amortization of intangible assets, and license fees paid to third parties to acquire patents or licenses to use patents and other technology. Research and development costs with no future benefit or alternative use are expensed as incurred. Research and development expenses incurred and reimbursed by grants from third parties approximate the grant income recognized in our condensed consolidated statements of operations. Royalties and sublicensing fees are recorded as research and development expenses, unless they are associated with product royalties, which we classify as cost of royalties in our condensed consolidated statements of operations. We expect our total research and development expenses to fluctuate each reporting period based on several factors including (i) the stage of development for each cell therapy program, (ii) the availability of resources to work on each program, and (iii) the timing of contractual obligations.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These expenses consist of employee and director compensation and related benefits, including stock-based compensation, for executive and corporate personnel, professional and consulting fees, and allocated overhead such as facilities rent and equipment rent and maintenance, insurance costs allocated to general and administrative expenses, costs of patent applications, prosecution and maintenance, stock exchange-related costs, depreciation expense, marketing costs, legal and accounting costs, and other miscellaneous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our operating expenses for the periods presented (amounts in thousands, except percentages):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07"/>
        <w:gridCol w:w="146"/>
        <w:gridCol w:w="196"/>
        <w:gridCol w:w="511"/>
        <w:gridCol w:w="146"/>
        <w:gridCol w:w="146"/>
        <w:gridCol w:w="196"/>
        <w:gridCol w:w="511"/>
        <w:gridCol w:w="146"/>
        <w:gridCol w:w="146"/>
        <w:gridCol w:w="214"/>
        <w:gridCol w:w="481"/>
        <w:gridCol w:w="166"/>
        <w:gridCol w:w="146"/>
        <w:gridCol w:w="696"/>
        <w:gridCol w:w="146"/>
        <w:gridCol w:w="196"/>
        <w:gridCol w:w="601"/>
        <w:gridCol w:w="146"/>
        <w:gridCol w:w="146"/>
        <w:gridCol w:w="196"/>
        <w:gridCol w:w="601"/>
        <w:gridCol w:w="146"/>
        <w:gridCol w:w="146"/>
        <w:gridCol w:w="222"/>
        <w:gridCol w:w="683"/>
        <w:gridCol w:w="166"/>
        <w:gridCol w:w="146"/>
        <w:gridCol w:w="910"/>
      </w:tblGrid>
      <w:tr>
        <w:trPr/>
        <w:tc>
          <w:tcPr>
            <w:tcW w:w="1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w:t>
              <w:br/>
              <w:t>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w:t>
              <w:b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Nine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(56)%</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w:t>
            </w:r>
          </w:p>
        </w:tc>
      </w:tr>
      <w:tr>
        <w:trPr/>
        <w:tc>
          <w:tcPr>
            <w:tcW w:w="19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100%</w:t>
            </w:r>
          </w:p>
        </w:tc>
      </w:tr>
      <w:tr>
        <w:trPr/>
        <w:tc>
          <w:tcPr>
            <w:tcW w:w="19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65%</w:t>
            </w:r>
          </w:p>
        </w:tc>
      </w:tr>
    </w:tbl>
    <w:p>
      <w:pPr>
        <w:pStyle w:val="TextBody"/>
        <w:bidi w:val="0"/>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shows the amount of our total research and development expenses allocated to our primary research and development programs for the periods presented (amounts in thousands, except percentages):</w:t>
      </w:r>
    </w:p>
    <w:p>
      <w:pPr>
        <w:pStyle w:val="TextBody"/>
        <w:bidi w:val="0"/>
        <w:jc w:val="both"/>
        <w:rPr/>
      </w:pPr>
      <w:r>
        <w:rPr/>
        <w:t> </w:t>
      </w:r>
    </w:p>
    <w:tbl>
      <w:tblPr>
        <w:tblW w:w="9940" w:type="dxa"/>
        <w:jc w:val="left"/>
        <w:tblInd w:w="0" w:type="dxa"/>
        <w:tblLayout w:type="fixed"/>
        <w:tblCellMar>
          <w:top w:w="28" w:type="dxa"/>
          <w:left w:w="28" w:type="dxa"/>
          <w:bottom w:w="28" w:type="dxa"/>
          <w:right w:w="28" w:type="dxa"/>
        </w:tblCellMar>
      </w:tblPr>
      <w:tblGrid>
        <w:gridCol w:w="3211"/>
        <w:gridCol w:w="146"/>
        <w:gridCol w:w="196"/>
        <w:gridCol w:w="511"/>
        <w:gridCol w:w="146"/>
        <w:gridCol w:w="146"/>
        <w:gridCol w:w="196"/>
        <w:gridCol w:w="511"/>
        <w:gridCol w:w="146"/>
        <w:gridCol w:w="146"/>
        <w:gridCol w:w="526"/>
        <w:gridCol w:w="146"/>
        <w:gridCol w:w="526"/>
        <w:gridCol w:w="146"/>
        <w:gridCol w:w="196"/>
        <w:gridCol w:w="511"/>
        <w:gridCol w:w="146"/>
        <w:gridCol w:w="146"/>
        <w:gridCol w:w="196"/>
        <w:gridCol w:w="511"/>
        <w:gridCol w:w="146"/>
        <w:gridCol w:w="146"/>
        <w:gridCol w:w="526"/>
        <w:gridCol w:w="146"/>
        <w:gridCol w:w="57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4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Nine Months Ended September 30,</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of Total</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OpRegen</w:t>
            </w: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50%</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29%</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ANP1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17%</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PNC1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RND1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programs and non-program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Research and development expenses.</w:t>
      </w:r>
      <w:r>
        <w:rPr>
          <w:rFonts w:ascii="Times New Roman" w:hAnsi="Times New Roman"/>
          <w:color w:val="000000"/>
          <w:sz w:val="20"/>
        </w:rPr>
        <w:t xml:space="preserve"> For the three months ended September 30, 2025, the $0.1 million increase in total research and development expenses as compared to the prior year was primarily driven by $0.2 million for our OPC1 program, $0.4 million for our preclinical and other undisclosed programs, partially offset by approximately $0.5 million for our OpRegen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nine months ended September 30, 2025, the $0.4 million increase in total research and development expenses as compared to the prior year was primarily driven by $0.7 million for our preclinical and other undisclosed programs, $0.2 million for our OPC1 program, partially offset by $0.5 million for our OpRegen program.</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General and administrative expenses.</w:t>
      </w:r>
      <w:r>
        <w:rPr>
          <w:rFonts w:ascii="Times New Roman" w:hAnsi="Times New Roman"/>
          <w:color w:val="000000"/>
          <w:sz w:val="20"/>
        </w:rPr>
        <w:t xml:space="preserve"> For both the three and nine months ended September 30, 2025, the $0.2 million decrease in general and administrative expenses as compared to the prior year was primarily attributable to stock-based compensation expense and services provided by third parties.</w:t>
      </w:r>
    </w:p>
    <w:p>
      <w:pPr>
        <w:pStyle w:val="TextBody"/>
        <w:bidi w:val="0"/>
        <w:spacing w:before="240" w:after="160"/>
        <w:jc w:val="both"/>
        <w:rPr>
          <w:rFonts w:ascii="Times New Roman" w:hAnsi="Times New Roman"/>
          <w:sz w:val="20"/>
        </w:rPr>
      </w:pPr>
      <w:r>
        <w:rPr>
          <w:rFonts w:ascii="Times New Roman" w:hAnsi="Times New Roman"/>
          <w:color w:val="000000"/>
          <w:sz w:val="20"/>
          <w:u w:val="single"/>
        </w:rPr>
        <w:t>Loss on impairment of intangible asset</w:t>
      </w:r>
      <w:r>
        <w:rPr>
          <w:rFonts w:ascii="Times New Roman" w:hAnsi="Times New Roman"/>
          <w:color w:val="000000"/>
          <w:sz w:val="20"/>
        </w:rPr>
        <w:t>. In the second quarter of 2025, we abandoned the VAC platform and its related research and development efforts, and concluded the IPR&amp;D asset had no alternative future use. Consequently, we derecognized the intangible asset and recorded a non-cash pre-tax impairment charge of $14.8 million within total operating expenses of the condensed consolidated statement of operations. See Note 6 (Goodwill and Intangible Assets, net) and Note 13 (Commitments and Contingencies) to our condensed consolidated interim financial statements included in this report for additional information.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Income and Expenses,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shows the amount of other income (expenses), net, for the periods presented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89"/>
        <w:gridCol w:w="146"/>
        <w:gridCol w:w="196"/>
        <w:gridCol w:w="661"/>
        <w:gridCol w:w="166"/>
        <w:gridCol w:w="146"/>
        <w:gridCol w:w="196"/>
        <w:gridCol w:w="376"/>
        <w:gridCol w:w="166"/>
        <w:gridCol w:w="146"/>
        <w:gridCol w:w="205"/>
        <w:gridCol w:w="693"/>
        <w:gridCol w:w="166"/>
        <w:gridCol w:w="146"/>
        <w:gridCol w:w="769"/>
        <w:gridCol w:w="146"/>
        <w:gridCol w:w="196"/>
        <w:gridCol w:w="661"/>
        <w:gridCol w:w="166"/>
        <w:gridCol w:w="146"/>
        <w:gridCol w:w="196"/>
        <w:gridCol w:w="511"/>
        <w:gridCol w:w="166"/>
        <w:gridCol w:w="146"/>
        <w:gridCol w:w="205"/>
        <w:gridCol w:w="693"/>
        <w:gridCol w:w="166"/>
        <w:gridCol w:w="146"/>
        <w:gridCol w:w="894"/>
      </w:tblGrid>
      <w:tr>
        <w:trPr/>
        <w:tc>
          <w:tcPr>
            <w:tcW w:w="1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r>
      <w:tr>
        <w:trPr/>
        <w:tc>
          <w:tcPr>
            <w:tcW w:w="15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Nine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Dollar Increase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 Increase</w:t>
            </w:r>
          </w:p>
        </w:tc>
      </w:tr>
      <w:tr>
        <w:trPr/>
        <w:tc>
          <w:tcPr>
            <w:tcW w:w="1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14"/>
              </w:rPr>
            </w:pPr>
            <w:r>
              <w:rPr>
                <w:rFonts w:ascii="Times New Roman" w:hAnsi="Times New Roman"/>
                <w:b/>
                <w:color w:val="000000"/>
                <w:sz w:val="14"/>
              </w:rPr>
              <w:t>(Decrease)</w:t>
            </w:r>
          </w:p>
        </w:tc>
      </w:tr>
      <w:tr>
        <w:trPr/>
        <w:tc>
          <w:tcPr>
            <w:tcW w:w="15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(2)%</w:t>
            </w:r>
          </w:p>
        </w:tc>
      </w:tr>
      <w:tr>
        <w:trPr/>
        <w:tc>
          <w:tcPr>
            <w:tcW w:w="15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 xml:space="preserve">Gain (loss) on marketable equity </w:t>
              <w:br/>
              <w:t>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95%</w:t>
            </w:r>
          </w:p>
        </w:tc>
      </w:tr>
      <w:tr>
        <w:trPr/>
        <w:tc>
          <w:tcPr>
            <w:tcW w:w="15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(100)%</w:t>
            </w:r>
          </w:p>
        </w:tc>
      </w:tr>
      <w:tr>
        <w:trPr/>
        <w:tc>
          <w:tcPr>
            <w:tcW w:w="15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currency transaction gain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687%</w:t>
            </w:r>
          </w:p>
        </w:tc>
      </w:tr>
      <w:tr>
        <w:trPr/>
        <w:tc>
          <w:tcPr>
            <w:tcW w:w="15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(937)%</w:t>
            </w:r>
          </w:p>
        </w:tc>
      </w:tr>
      <w:tr>
        <w:trPr/>
        <w:tc>
          <w:tcPr>
            <w:tcW w:w="158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(3400)%</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color w:val="000000"/>
          <w:sz w:val="20"/>
          <w:u w:val="single"/>
        </w:rPr>
        <w:t>Interest income, net</w:t>
      </w:r>
      <w:r>
        <w:rPr>
          <w:rFonts w:ascii="Times New Roman" w:hAnsi="Times New Roman"/>
          <w:color w:val="000000"/>
          <w:sz w:val="20"/>
        </w:rPr>
        <w:t xml:space="preserve">. For the three and nine months ended September 30, 2025, the change in interest income, net, as compared to the prior year was de minimis.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Gain (loss) on marketable equity securities, net</w:t>
      </w:r>
      <w:r>
        <w:rPr>
          <w:rFonts w:ascii="Times New Roman" w:hAnsi="Times New Roman"/>
          <w:color w:val="000000"/>
          <w:sz w:val="20"/>
        </w:rPr>
        <w:t xml:space="preserve">. We expect our net gain or loss on marketable equitable securities to fluctuate each reporting period based on the changes in the market price of marketable equitable securities held by us which could impact our net income or loss reported in our condensed consolidated statements of operations for a particular reporting period. These marketable equitable securities are carried at fair market value on our condensed consolidated balance sheet. See Note 4 (Marketable Securities) to our condensed consolidated interim financial statements included in this report for additional information regarding our marketable equity securities. For the three and nine months ended September 30, 2025 and 2024, the change in the values of our marketable equity securities was de minimis and primarily related to changes in the fair market value of such securities during the respective periods. </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Change in fair value of warrant liability</w:t>
      </w:r>
      <w:r>
        <w:rPr>
          <w:rFonts w:ascii="Times New Roman" w:hAnsi="Times New Roman"/>
          <w:color w:val="000000"/>
          <w:sz w:val="20"/>
        </w:rPr>
        <w:t>. The liability-classified warrants issued in connection with the November 2024 registered direct offering (“November 2024 RDO”) are valued at each reporting period end date while the warrants are outstanding, and at the time of each warrant exercise, using a Black-Scholes option pricing model that maximizes the use of observable inputs and minimizes the use of unobservable inputs to the extent possible. A significant increase or decrease in these inputs could result in significantly higher or lower fair value measurements. The changes in fair value of the liability-classified warrants are non-cash adjustments recorded in the condensed consolidated statements of operations and we expect this fair value to fluctuate each reporting period. For the three and nine months ended September 30, 2025, the change in the fair value of the warrants was primarily driven by an increase in the Company’s common share price during these periods. There were no liability-classified warrants outstanding for the three and nine months ended September 30, 2024.</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Foreign currency transaction gain (loss), net</w:t>
      </w:r>
      <w:r>
        <w:rPr>
          <w:rFonts w:ascii="Times New Roman" w:hAnsi="Times New Roman"/>
          <w:color w:val="000000"/>
          <w:sz w:val="20"/>
        </w:rPr>
        <w:t>. Foreign currency transaction gain (loss), net primarily results from currency fluctuations applied to our subsidiary’s U.S. dollar-denominated intercompany balances with Lineage. The functional currency of our subsidiaries, CCN and ES Cell International Pte. Ltd. (“ESI”), is the Israeli New Shekel (“ILS”) and the Singapore Dollar (“SGD”), respectively. Foreign currency transaction gains and losses for the periods presented are principally related to the remeasurement of the U.S. dollar denominated notes payable and notes receivable between Lineage and its subsidiaries.</w:t>
      </w:r>
    </w:p>
    <w:p>
      <w:pPr>
        <w:pStyle w:val="TextBody"/>
        <w:bidi w:val="0"/>
        <w:spacing w:before="240" w:after="283"/>
        <w:jc w:val="both"/>
        <w:rPr>
          <w:rFonts w:ascii="Times New Roman" w:hAnsi="Times New Roman"/>
          <w:sz w:val="20"/>
        </w:rPr>
      </w:pPr>
      <w:r>
        <w:rPr>
          <w:rFonts w:ascii="Times New Roman" w:hAnsi="Times New Roman"/>
          <w:color w:val="000000"/>
          <w:sz w:val="20"/>
          <w:u w:val="single"/>
        </w:rPr>
        <w:t>Other income (expenses), net</w:t>
      </w:r>
      <w:r>
        <w:rPr>
          <w:rFonts w:ascii="Times New Roman" w:hAnsi="Times New Roman"/>
          <w:color w:val="000000"/>
          <w:sz w:val="20"/>
        </w:rPr>
        <w:t xml:space="preserve">. For the nine months ended September 30, 2025, the Company recorded $0.2 million of other expense related to the allocated transaction costs for warrants issued in connection with the second closing of the November 2024 RDO in January 2025. No comparable expense was recorded for the nine months ended September 30, 2024.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Under ASC 740, </w:t>
      </w:r>
      <w:r>
        <w:rPr>
          <w:rFonts w:ascii="Times New Roman" w:hAnsi="Times New Roman"/>
          <w:i/>
          <w:color w:val="000000"/>
          <w:sz w:val="20"/>
        </w:rPr>
        <w:t>Income Taxes</w:t>
      </w:r>
      <w:r>
        <w:rPr>
          <w:rFonts w:ascii="Times New Roman" w:hAnsi="Times New Roman"/>
          <w:color w:val="000000"/>
          <w:sz w:val="20"/>
        </w:rPr>
        <w:t>, a valuation allowance is provided when it is more likely than not that some portion of the deferred tax assets will not be realized. We established a full valuation allowance as of December 31, 2018 due to the uncertainty of realizing future tax benefits from the net operating loss carryforwards and other deferred tax assets, including foreign net operating losses generated by our subsidiaries. Lineage did not record a deferred tax benefit or provision expense for either of the nine months ended September 30, 2025 or 2024.</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2025, we had $40.5 million in cash, cash equivalents and marketable securities and our accumulated deficit was $467.8 million. For the nine months ended September 30, 2025, we incurred a loss from operations of $30.1 million and had negative cash flow from operations of $14.0 million. Since inception, we have incurred significant operating losses and we expect to continue to incur significant operating losses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historically funded our operations primarily through proceeds from the sale of our common shares and securities exercisable or convertible into our common shares, the sale of common stock of our former subsidiaries, research grants, revenues from collaborations, and royalties from product sales that are unrelated to our current cell therapy product candidates. In January 2025, we raised approximately $5.4 million in net proceeds from the second closing of the November 2024 RDO. We may receive up to an additional $36 million in gross proceeds upon the full cash exercise of OpRegen clinical milestone-linked warrants we issued to the investors in the November 2024 RDO, of which we have received $318,500 through September 30, 2025. However, no assurances can be given as to the extent to which additional warrants will be exercised, or if exercised, that they will be exercised on a cash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nine months ended September 30, 2025, we issued and sold 1.0 million common shares under our at-the-market offering program for gross proceeds of $1.3 million. As of September 30, 2025, $38.7 million remained available for sale under our at-the-market offering program. See Note 10 (Shareholders’ Equity) to our condensed consolidated interim financial statements included in this report for additional information regarding our at-the-market offering program.</w:t>
      </w:r>
    </w:p>
    <w:p>
      <w:pPr>
        <w:pStyle w:val="TextBody"/>
        <w:bidi w:val="0"/>
        <w:spacing w:before="36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jc w:val="both"/>
        <w:rPr/>
      </w:pPr>
      <w:r>
        <w:rPr/>
        <w:t> </w:t>
      </w:r>
    </w:p>
    <w:tbl>
      <w:tblPr>
        <w:tblW w:w="8337" w:type="dxa"/>
        <w:jc w:val="left"/>
        <w:tblInd w:w="0" w:type="dxa"/>
        <w:tblLayout w:type="fixed"/>
        <w:tblCellMar>
          <w:top w:w="28" w:type="dxa"/>
          <w:left w:w="28" w:type="dxa"/>
          <w:bottom w:w="28" w:type="dxa"/>
          <w:right w:w="28" w:type="dxa"/>
        </w:tblCellMar>
      </w:tblPr>
      <w:tblGrid>
        <w:gridCol w:w="5086"/>
        <w:gridCol w:w="146"/>
        <w:gridCol w:w="248"/>
        <w:gridCol w:w="866"/>
        <w:gridCol w:w="195"/>
        <w:gridCol w:w="171"/>
        <w:gridCol w:w="248"/>
        <w:gridCol w:w="866"/>
        <w:gridCol w:w="511"/>
      </w:tblGrid>
      <w:tr>
        <w:trPr/>
        <w:tc>
          <w:tcPr>
            <w:tcW w:w="5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Effect of exchange rate changes on cash, cash equivalents </w:t>
              <w:br/>
              <w:t>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used in operating activities for the nine months ended September 30, 2025 was $14.0 million and consisted of a net loss of $64.3 million plus the net changes in operating assets and liabilities of approximately $4.2 million, partially offset by $54.4 million in non-cash adjustments. The net changes in operating assets and liabilities were primarily due to a $5.6 million reduction in deferred revenues, partially offset by a $1.1 million increase in prepaid expenses and other current assets. The non-cash adjustments were primarily due to a $37.0 million change in the fair value of the warrant liability, as well as a $14.8 million loss on impairment of our IPR&amp;D intangible asset related to the VAC platform.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used in operating activities was $16.7 million for the nine months ended September 30, 2024, which primarily reflects the loss from operations of $16.4 million plus the changes in operating assets and liabilities of $5.7 million. These items were partially offset by the non-cash expenses of $3.8 million for stock-based compensation and $0.5 million for depreciation and amortization. The foreign currency remeasurement had no effect on cash flows.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(Used In)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investing activities for the nine months ended September 30, 2025 was $1.9 million and primarily consisted of maturities of U.S. Treasury securities.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used in investing activities for the nine months ended September 30, 2024 was $4.9 million and primarily resulted from the purchase of U.S. Treasury securities, net of proceeds from maturities of U.S. Treasury securities.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Provided by 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nine months ended September 30, 2025 was $6.6 million and consisted of net proceeds from the sale of our common shares and warrants in the November 2024 RDO, as well as proceeds from the exercise of options and warrants and proceeds from the sale of common shares under our at-the-market offering program. These cash inflows were partially offset by principal payments for our financed insurance liability and principal payments for our finance lease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provided by financing activities for the nine months ended September 30, 2024 was $14.1 million and primarily consisted of net proceeds from the sale of our common shares in our registered direct offering and from the sale of our common shares under our at-the-market offering program.</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obligations primarily consist of obligations to our licensors under license agreements, obligations related to grants received from government entities, including the Israel Innovation Authority (“IIA”), obligations under vendor contracts for research services and other purchase commitments with suppliers.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received grants under the Innovation Law and are required to pay royalties to the IIA from the revenues generated from the sale of product candidates and related services developed, in whole or in part pursuant to, or as a result of, a research and development program funded by the IIA. Under the Innovation Law, we are also required to pay redemption fees to the IIA. To date, through a series of separate grants beginning in 2007, CCN has received a total of $15.4 million from the IIA to support the OpRegen program. We are obligated to pay approximately 24.1% of any future payments we may receive under the Roche Agreement to the IIA, up to an aggregate cap on all payments to IIA, such cap growing over time via interest accrual until paid in full. As of September 30, 2025, the aggregate cap amount was approximately $96.9 million. Redemption fees due to the IIA under the Innovation Law are due upon receipt of any milestone payments and royalties received under the Roche Agreement. As of September 30, 2025, we have not included any future financial obligations due to the IIA under the Innovation Law in the accompanying unaudited condensed consolidated balance sheet because the achievement and timing of the events that would require future payments to the IIA under the Innovation Law is not fixed and determinable. See Note 13 (Commitments and Contingencies) to our condensed consolidated interim financial statements included in this report for additional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obligations to licensors under license agreements and to other government entities under the terms of grants we have received require us to make future payments relating to sublicense fees, milestone payments, redemption fees, royalties and patent maintenance costs. Sublicense fees are payable to licensors or government entities when we sublicense underlying intellectual property to third parties; the fees are based on a percentage of the license-related revenue we receive from sublicensees. Milestone payments are due to licensors or government entities upon future achievement of certain commercial, development and regulatory milestones. Royalties are payable to licensors or government entities based on a percentage of net sales of licensed products, including those related to the Roche Agreement. Patent maintenance costs are payable to licensors as reimbursement for the cost of maintaining licensed patents. Due to the contingent nature of the payments, the amounts and timing of payments to licensors under our in-license agreements and to government entities under the terms of grants we have received are uncertain and may fluctuate significantly from period to period. As of September 30, 2025, we have not included these commitments on our condensed consolidated balance sheet because the achievement and timing of these events are not fixed and determinable.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September 30, 2025, under the terms of the leases for the facilities from which CCN and Lineage operate, a total of $2.6 million of rent payments will become due, of which $0.3 million will become due in the remainder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amounts and timing of payments under these agreements are uncertain and contingent upon the initiation and completion of the services to be provided.</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Funding Requirements and Potential 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continue to incur losses for at least the next several years. We expect that our operating expenses will continue to increase for the foreseeable future as we continue the development of, and seek regulatory approval for, our product candidates. As a result, we will need significant additional capital to fund our operations. Our determination as to when we will seek additional capital and the amount of additional capital that we will need will be based on our evaluation of the progress we make in our research and development programs, changes to the scope and focus of those programs, changes in grant funding for certain of those programs, and projection of future costs, revenues, and rates of expenditure. If we are unable to raise additional capital when and as needed, we may be required to delay, postpone, or cancel our clinical trials or limit the number of clinical trial sites.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may receive up to an additional $36 million in gross proceeds upon the full cash exercise of OpRegen clinical milestone-linked warrants we issued to the investors in the November 2024 RDO, of which we have received $318,500 through September 30, 2025. However, no assurances can be given as to the extent to which additional warrants will be exercised, or if exercised, that they will be exercised on a cash basis. As of September 30, 2025, $38.7 million remained available for sale under our at-the-market offering program. See Note 10 (Shareholders’ Equity) to our condensed consolidated interim financial statements included in this report for additional information regarding our at-the-market offering program.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may seek to obtain the additional capital we may need through one or more equity offerings, debt financings, government or other grant funding, or other third-party funding transactions, including potential strategic alliances and licensing or collaboration agreements, or structured financings such as royalty monetization transactions. We cannot provide any assurance that adequate additional capital will be available on favorable terms, if at all. The issuance of additional securities, whether equity or debt, or the possibility of such issuance, may cause the market price of our common shares to decline, and the issuance of additional equity securities could result in the dilution of the interests of our current shareholders. If we obtain additional capital through strategic alliances and licensing or collaboration agreements or structured financing, we may be required to relinquish rights to our intellectual property, our product candidates or rights to future revenue streams or otherwise agree to terms unfavorable to us. The unavailability or inadequacy of additional capital to meet future capital needs could force us to modify, curtail, delay, or suspend some or all aspects of our current planned operations. Our ability to raise additional capital may be adversely impacted due to external factors beyond our control, such as unfavorable global economic conditions, disruptions to and volatility in the credit and financial markets in the United States and worldwide, political and economic uncertainty, geopolitical conflicts, rising inflation and interest rates, and other macroeconomic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believe that our $40.5 million in cash, cash equivalents and marketable securities at September 30, 2025, will be sufficient to fund our planned operations through at least twelve months from the issuance date of our condensed consolidated interim financial statements included elsewhere in this report. We believe we will meet our longer-term expected future cash requirements and obligations with our current cash and cash equivalents, milestone and other payments we expect to receive under our collaboration agreements, and proceeds we receive from sales of our common shares under our at-the-market offering program.</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3" w:name="item_3"/>
      <w:bookmarkEnd w:id="13"/>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SEC rules and regulations, as a smaller reporting company,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4" w:name="item_4"/>
      <w:bookmarkEnd w:id="14"/>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40" w:after="283"/>
        <w:jc w:val="both"/>
        <w:rPr>
          <w:rFonts w:ascii="Times New Roman" w:hAnsi="Times New Roman"/>
          <w:sz w:val="20"/>
        </w:rPr>
      </w:pPr>
      <w:r>
        <w:rPr>
          <w:rFonts w:ascii="Times New Roman" w:hAnsi="Times New Roman"/>
          <w:color w:val="000000"/>
          <w:sz w:val="20"/>
        </w:rPr>
        <w:t>It is management’s responsibility to establish and maintain adequate internal control over all financial reporting pursuant to Rule 13a-15 under the Exchange Act. Our management, including our principal executive officer and our principal financial officer, reviewed and evaluated the effectiveness of our disclosure controls and procedures as of the end of the period covered by this report. Following this review and evaluation</w:t>
      </w:r>
      <w:r>
        <w:rPr>
          <w:rFonts w:ascii="Times New Roman" w:hAnsi="Times New Roman"/>
          <w:i/>
          <w:color w:val="000000"/>
          <w:sz w:val="20"/>
        </w:rPr>
        <w:t>,</w:t>
      </w:r>
      <w:r>
        <w:rPr>
          <w:rFonts w:ascii="Times New Roman" w:hAnsi="Times New Roman"/>
          <w:color w:val="000000"/>
          <w:sz w:val="20"/>
        </w:rPr>
        <w:t xml:space="preserve"> management collectively determined that our disclosure controls and procedures were effective as of the end of the period covered by this report to ensure that information required to be disclosed by us in reports that we file or submit under the Exchange Act: (i) is recorded, processed, summarized and reported within the time periods specified in SEC rules and forms; and (ii) is accumulated and communicated to management, including our principal executive officer and our principal financial officer, as appropriate to allow timely decisions regarding required disclosure.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period covered by this report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5" w:name="part_ii"/>
      <w:bookmarkEnd w:id="15"/>
      <w:r>
        <w:rPr>
          <w:rFonts w:ascii="Times New Roman" w:hAnsi="Times New Roman"/>
          <w:b/>
          <w:color w:val="000000"/>
          <w:sz w:val="20"/>
        </w:rPr>
        <w:t>PART II - OTHER INFORMATION</w:t>
      </w:r>
    </w:p>
    <w:p>
      <w:pPr>
        <w:pStyle w:val="TextBody"/>
        <w:bidi w:val="0"/>
        <w:spacing w:before="240" w:after="283"/>
        <w:jc w:val="both"/>
        <w:rPr>
          <w:rFonts w:ascii="Times New Roman" w:hAnsi="Times New Roman"/>
          <w:b/>
          <w:color w:val="000000"/>
          <w:sz w:val="20"/>
        </w:rPr>
      </w:pPr>
      <w:bookmarkStart w:id="16" w:name="part_ii_item_1"/>
      <w:bookmarkEnd w:id="16"/>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not currently a party to any material legal proceedings. From time-to-time we may be involved in a variety of legal proceedings. Such proceedings may initially be viewed as immaterial but could later prove to be material. Legal proceedings are inherently unpredictable and excessive verdicts do occur. Given the inherent uncertainties in litigation, even when we can reasonably estimate the amount of possible loss or range of loss and reasonably estimable loss contingencies, the actual outcome may change in the future due to new developments or changes in approach. In addition, legal proceedings could involve significant expense and diversion of management’s attention and resources from other matters. For a discussion of legal proceedings in which we are involved, see Note 13 (Commitments and Contingencies) in the Notes to the Condensed Consolidated Interim Financial Statements in Part I, Item 1 of this report.</w:t>
      </w:r>
    </w:p>
    <w:p>
      <w:pPr>
        <w:pStyle w:val="TextBody"/>
        <w:bidi w:val="0"/>
        <w:spacing w:before="360" w:after="283"/>
        <w:jc w:val="both"/>
        <w:rPr>
          <w:rFonts w:ascii="Times New Roman" w:hAnsi="Times New Roman"/>
          <w:b/>
          <w:color w:val="000000"/>
          <w:sz w:val="20"/>
        </w:rPr>
      </w:pPr>
      <w:bookmarkStart w:id="17" w:name="part_ii_item_1a"/>
      <w:bookmarkEnd w:id="17"/>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investment in our common shares involves a high degree of risk. You should carefully consider the risks and uncertainties described in the 2024 10-K, in addition to other information in this report, when evaluating our business and before deciding whether to purchase, hold or sell our common shares. Each of these risks and uncertainties, as well as additional risks and uncertainties not presently known to us or that we currently consider immaterial, could harm our business, financial condition, results of operations and/or growth prospects, as well as adversely affect the market price of our common shares, in which case you may lose all or part of your investment. Except as described below, there have been no material changes from the risk factors disclosed in Part I, Item 1A. Risk Factors in the 2024 10-K.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 assurances can be given that we will be able to continue to consistently manufacture clinical quantities of our product candidates in accordance with cGMP from a master and working cell bank system, or at a cost-effective or commercially viable scale, for one or more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previously completed a cGMP production run of two of our clinical-stage product candidates from a customized two-tiered cGMP cell banking system. However, at this time, no assurances can be given that we will be able to consistently continue to produce production lots in the future in compliance with cGMP or do so at a cost-effective or commercially viable scale. See also the risk factor titled, “The manufacture of our cell therapy product candidates is complex, highly regulated and subject to a multitude of risks. We have limited experience manufacturing our product candidates on a clinical scale and no experience manufacturing on a commercial scale. Any failure to manufacture our product candidates in sufficient quantities in accordance with applicable quality standards and regulatory requirements and at acceptable costs, may result in significant clinical development delays or impair our ability, or that of a strategic collaborator, to obtain approval for or commercialize our product candidates,” set forth in “Item 1A. Risk Factors” of our 2024 10-K. </w:t>
      </w:r>
    </w:p>
    <w:p>
      <w:pPr>
        <w:pStyle w:val="TextBody"/>
        <w:bidi w:val="0"/>
        <w:spacing w:before="360" w:after="283"/>
        <w:jc w:val="both"/>
        <w:rPr>
          <w:rFonts w:ascii="Times New Roman" w:hAnsi="Times New Roman"/>
          <w:b/>
          <w:color w:val="000000"/>
          <w:sz w:val="20"/>
        </w:rPr>
      </w:pPr>
      <w:bookmarkStart w:id="18" w:name="part_ii_item_2"/>
      <w:bookmarkEnd w:id="18"/>
      <w:r>
        <w:rPr>
          <w:rFonts w:ascii="Times New Roman" w:hAnsi="Times New Roman"/>
          <w:b/>
          <w:color w:val="000000"/>
          <w:sz w:val="20"/>
        </w:rPr>
        <w:t>Item 2. Unregistered Sales of Equity Securities, Use of Proceeds, and Issuer 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9" w:name="part_ii_item_3"/>
      <w:bookmarkEnd w:id="19"/>
      <w:r>
        <w:rPr>
          <w:rFonts w:ascii="Times New Roman" w:hAnsi="Times New Roman"/>
          <w:b/>
          <w:color w:val="000000"/>
          <w:sz w:val="20"/>
        </w:rPr>
        <w:t>Item 3. Default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20" w:name="part_ii_item_4"/>
      <w:bookmarkEnd w:id="20"/>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21" w:name="part_ii_item_5"/>
      <w:bookmarkEnd w:id="21"/>
      <w:r>
        <w:rPr>
          <w:rFonts w:ascii="Times New Roman" w:hAnsi="Times New Roman"/>
          <w:b/>
          <w:color w:val="000000"/>
          <w:sz w:val="20"/>
        </w:rPr>
        <w:t>Item 5. 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pPr>
      <w:r>
        <w:rPr>
          <w:rFonts w:ascii="Times New Roman" w:hAnsi="Times New Roman"/>
          <w:color w:val="000000"/>
          <w:sz w:val="20"/>
        </w:rPr>
        <w:t>During the quarter covered by this report, none of our directors or officers (as defined in Rule 16a-1(f)</w:t>
        <w:br/>
        <w:t>under the Exchange Act) adopted</w:t>
      </w:r>
      <w:r>
        <w:rPr>
          <w:color w:val="000000"/>
        </w:rPr>
        <w:t xml:space="preserve"> </w:t>
      </w:r>
      <w:r>
        <w:rPr>
          <w:rFonts w:ascii="Times New Roman" w:hAnsi="Times New Roman"/>
          <w:color w:val="000000"/>
          <w:sz w:val="20"/>
        </w:rPr>
        <w:t>or terminated</w:t>
      </w:r>
      <w:r>
        <w:rPr>
          <w:color w:val="000000"/>
        </w:rPr>
        <w:t xml:space="preserve"> </w:t>
      </w:r>
      <w:r>
        <w:rPr>
          <w:rFonts w:ascii="Times New Roman" w:hAnsi="Times New Roman"/>
          <w:color w:val="000000"/>
          <w:sz w:val="20"/>
        </w:rPr>
        <w:t>any Rule 10b5-1 trading arrangement (as defined in Item 408(a)(1)(i) of</w:t>
        <w:br/>
        <w:t>Regulation S-K) or any non-Rule 10b5-1 trading arrangement (as defined in Item 408(c) of Regulation S-K).</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bookmarkStart w:id="22" w:name="part_ii_item_6"/>
      <w:bookmarkEnd w:id="22"/>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7"/>
        <w:gridCol w:w="146"/>
        <w:gridCol w:w="5503"/>
        <w:gridCol w:w="146"/>
        <w:gridCol w:w="691"/>
        <w:gridCol w:w="146"/>
        <w:gridCol w:w="540"/>
        <w:gridCol w:w="146"/>
        <w:gridCol w:w="1156"/>
        <w:gridCol w:w="146"/>
        <w:gridCol w:w="798"/>
      </w:tblGrid>
      <w:tr>
        <w:trPr/>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7"/>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87" w:type="dxa"/>
            <w:tcBorders>
              <w:bottom w:val="single" w:sz="12"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3"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8"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Restated Articles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3.1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November 9,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Times New Roman" w:hAnsi="Times New Roman"/>
                  <w:color w:val="0000FF"/>
                  <w:sz w:val="20"/>
                  <w:u w:val="single"/>
                </w:rPr>
                <w:t>Certificate of Ownership</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August 12, 2019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000FF"/>
                  <w:sz w:val="20"/>
                  <w:u w:val="single"/>
                </w:rPr>
                <w:t>Second 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June 13,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001-12830</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1_1.htm">
              <w:r>
                <w:rPr>
                  <w:rStyle w:val="InternetLink"/>
                  <w:rFonts w:ascii="Times New Roman" w:hAnsi="Times New Roman"/>
                  <w:color w:val="0000FF"/>
                  <w:sz w:val="20"/>
                  <w:u w:val="single"/>
                </w:rPr>
                <w:t>Certification of Chief Executive Officer pursuant to Form of Rule 13a-14(a), as Adopted Pursuant to Section 302(a)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1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1_2.htm">
              <w:r>
                <w:rPr>
                  <w:rStyle w:val="InternetLink"/>
                  <w:rFonts w:ascii="Times New Roman" w:hAnsi="Times New Roman"/>
                  <w:color w:val="0000FF"/>
                  <w:sz w:val="20"/>
                  <w:u w:val="single"/>
                </w:rPr>
                <w:t>Certification of Chief Financial Officer pursuant to Form of Rule 13a-14(a), as Adopted Pursuant to Section 302(a)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40"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15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9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pPr>
            <w:hyperlink w:anchor="lctx-ex32_1.htm">
              <w:r>
                <w:rPr>
                  <w:rStyle w:val="InternetLink"/>
                  <w:rFonts w:ascii="Times New Roman" w:hAnsi="Times New Roman"/>
                  <w:color w:val="0000FF"/>
                  <w:sz w:val="20"/>
                  <w:u w:val="single"/>
                </w:rPr>
                <w:t>Certification of Chief Executive Officer and Chief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XBRL Instance Document - the instance document does not appear in the Interactive Data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Inline XBRL Taxonomy Extension Schema With Embedded Linkbase documents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signatures"/>
      <w:bookmarkEnd w:id="23"/>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552" w:type="dxa"/>
        <w:jc w:val="left"/>
        <w:tblInd w:w="0" w:type="dxa"/>
        <w:tblLayout w:type="fixed"/>
        <w:tblCellMar>
          <w:top w:w="28" w:type="dxa"/>
          <w:left w:w="28" w:type="dxa"/>
          <w:bottom w:w="28" w:type="dxa"/>
          <w:right w:w="28" w:type="dxa"/>
        </w:tblCellMar>
      </w:tblPr>
      <w:tblGrid>
        <w:gridCol w:w="2101"/>
        <w:gridCol w:w="3451"/>
      </w:tblGrid>
      <w:tr>
        <w:trPr/>
        <w:tc>
          <w:tcPr>
            <w:tcW w:w="2101"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LINEAGE CELL THERAPEUTICS, INC.</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34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/s/ Jill Ann Howe</w:t>
            </w:r>
            <w:r>
              <w:rPr>
                <w:rFonts w:ascii="Times New Roman" w:hAnsi="Times New Roman"/>
                <w:color w:val="000000"/>
                <w:sz w:val="20"/>
              </w:rPr>
              <w:t xml:space="preserve">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lctx-ex31_1.htm"/>
      <w:bookmarkStart w:id="25" w:name="kslctxex31_1"/>
      <w:bookmarkEnd w:id="24"/>
      <w:bookmarkEnd w:id="25"/>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Brian M. Culley,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November 6, 2025</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6" w:name="lctx-ex31_2.htm"/>
      <w:bookmarkStart w:id="27" w:name="kslctxex31_2"/>
      <w:bookmarkEnd w:id="26"/>
      <w:bookmarkEnd w:id="27"/>
      <w:r>
        <w:rPr>
          <w:rFonts w:ascii="Times New Roman" w:hAnsi="Times New Roman"/>
          <w:b/>
          <w:color w:val="000000"/>
          <w:sz w:val="24"/>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Jill Ann Howe,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Lineage Cell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November 6, 2025</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Jill Ann Howe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bookmarkStart w:id="28" w:name="gfpex32_1_htm"/>
      <w:bookmarkEnd w:id="28"/>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lctx-ex32_1.htm"/>
      <w:bookmarkStart w:id="30" w:name="kslctxex32_1"/>
      <w:bookmarkEnd w:id="29"/>
      <w:bookmarkEnd w:id="3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In connection with the quarterly report on Form 10-Q of Lineage Cell Therapeutics, Inc. (the “Company”) for the quarter ended September 30, 2025 as filed with the Securities and Exchange Commission on the date hereof (the “Report”), we, Brian M. Culley, Chief Executive Officer of the Company, and Jill Ann Howe, Chief Financial Officer of the Company, certify pursuant to 18 U.S.C. Section 1350, as adopted pursuant to Section 906 of the Sarbanes-Oxley Act of 2002, that: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November 6, 2025</w:t>
      </w:r>
    </w:p>
    <w:tbl>
      <w:tblPr>
        <w:tblW w:w="2600" w:type="dxa"/>
        <w:jc w:val="left"/>
        <w:tblInd w:w="0" w:type="dxa"/>
        <w:tblLayout w:type="fixed"/>
        <w:tblCellMar>
          <w:top w:w="28" w:type="dxa"/>
          <w:left w:w="28" w:type="dxa"/>
          <w:bottom w:w="28" w:type="dxa"/>
          <w:right w:w="28" w:type="dxa"/>
        </w:tblCellMar>
      </w:tblPr>
      <w:tblGrid>
        <w:gridCol w:w="2446"/>
        <w:gridCol w:w="154"/>
      </w:tblGrid>
      <w:tr>
        <w:trPr/>
        <w:tc>
          <w:tcPr>
            <w:tcW w:w="2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/s/ Brian M. Culley</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M. Culley</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90" w:type="dxa"/>
        <w:jc w:val="left"/>
        <w:tblInd w:w="0" w:type="dxa"/>
        <w:tblLayout w:type="fixed"/>
        <w:tblCellMar>
          <w:top w:w="28" w:type="dxa"/>
          <w:left w:w="28" w:type="dxa"/>
          <w:bottom w:w="28" w:type="dxa"/>
          <w:right w:w="28" w:type="dxa"/>
        </w:tblCellMar>
      </w:tblPr>
      <w:tblGrid>
        <w:gridCol w:w="3736"/>
        <w:gridCol w:w="154"/>
      </w:tblGrid>
      <w:tr>
        <w:trPr/>
        <w:tc>
          <w:tcPr>
            <w:tcW w:w="3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Jill Ann Howe</w:t>
            </w:r>
          </w:p>
        </w:tc>
        <w:tc>
          <w:tcPr>
            <w:tcW w:w="1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Jill Ann Howe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Lineage Cell Therapeutics, Inc. and will be retained by Lineage Cell Therapeutics, Inc. and furnished to the Securities and Exchange Commission or its staff upon request.</w:t>
      </w:r>
    </w:p>
    <w:p>
      <w:pPr>
        <w:pStyle w:val="TextBody"/>
        <w:bidi w:val="0"/>
        <w:jc w:val="both"/>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6343/000149315223040058/ex3-1.htm" TargetMode="External"/><Relationship Id="rId3" Type="http://schemas.openxmlformats.org/officeDocument/2006/relationships/hyperlink" Target="https://www.sec.gov/Archives/edgar/data/876343/000149315219012036/ex3-1.htm" TargetMode="External"/><Relationship Id="rId4" Type="http://schemas.openxmlformats.org/officeDocument/2006/relationships/hyperlink" Target="https://www.sec.gov/Archives/edgar/data/876343/000095017024073072/lctx-ex3_1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25193</Words>
  <Characters>140752</Characters>
  <CharactersWithSpaces>167243</CharactersWithSpaces>
  <Paragraphs>6275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